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highlight w:val="none"/>
        </w:rPr>
      </w:pPr>
      <w:bookmarkStart w:id="0" w:name="OLE_LINK30"/>
      <w:bookmarkStart w:id="1" w:name="OLE_LINK31"/>
    </w:p>
    <w:p>
      <w:pPr>
        <w:pStyle w:val="142"/>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6"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hint="eastAsia" w:ascii="楷体_GB2312" w:hAnsi="宋体" w:eastAsia="楷体_GB2312" w:cs="Times New Roman"/>
          <w:sz w:val="52"/>
          <w:szCs w:val="52"/>
        </w:rPr>
      </w:pPr>
      <w:r>
        <w:rPr>
          <w:rFonts w:hint="eastAsia" w:ascii="楷体_GB2312" w:hAnsi="宋体" w:eastAsia="楷体_GB2312" w:cs="Times New Roman"/>
          <w:sz w:val="52"/>
          <w:szCs w:val="52"/>
        </w:rPr>
        <w:t>中国重汽集团济南商用车有限公司</w:t>
      </w:r>
    </w:p>
    <w:p>
      <w:pPr>
        <w:ind w:right="280"/>
        <w:jc w:val="center"/>
        <w:rPr>
          <w:rFonts w:hint="eastAsia" w:ascii="楷体_GB2312" w:hAnsi="宋体" w:eastAsia="楷体_GB2312" w:cs="Times New Roman"/>
          <w:sz w:val="52"/>
          <w:szCs w:val="52"/>
          <w:lang w:val="en-US" w:eastAsia="zh-CN"/>
        </w:rPr>
      </w:pPr>
      <w:r>
        <w:rPr>
          <w:rFonts w:hint="eastAsia" w:ascii="楷体_GB2312" w:hAnsi="宋体" w:eastAsia="楷体_GB2312" w:cs="Times New Roman"/>
          <w:sz w:val="52"/>
          <w:szCs w:val="52"/>
          <w:lang w:val="en-US" w:eastAsia="zh-CN"/>
        </w:rPr>
        <w:t>轻卡焊装线KD改造项目</w:t>
      </w:r>
    </w:p>
    <w:p>
      <w:pPr>
        <w:ind w:right="280"/>
        <w:jc w:val="center"/>
        <w:rPr>
          <w:rFonts w:ascii="楷体_GB2312" w:hAnsi="宋体" w:eastAsia="楷体_GB2312"/>
          <w:sz w:val="52"/>
          <w:szCs w:val="52"/>
        </w:rPr>
      </w:pP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项目编号：ZBGL2026030379</w:t>
      </w:r>
    </w:p>
    <w:p>
      <w:pPr>
        <w:jc w:val="center"/>
        <w:rPr>
          <w:rFonts w:ascii="宋体" w:hAnsi="宋体"/>
          <w:sz w:val="48"/>
          <w:szCs w:val="48"/>
        </w:rPr>
      </w:pPr>
    </w:p>
    <w:p>
      <w:pPr>
        <w:jc w:val="both"/>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人：中国重汽集团济南商用车有限公司</w:t>
      </w:r>
    </w:p>
    <w:p>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03</w:t>
      </w:r>
      <w:r>
        <w:rPr>
          <w:rFonts w:hint="eastAsia" w:ascii="宋体" w:hAnsi="宋体"/>
          <w:sz w:val="28"/>
          <w:szCs w:val="28"/>
          <w:highlight w:val="none"/>
          <w:u w:val="single"/>
        </w:rPr>
        <w:t>月</w:t>
      </w:r>
    </w:p>
    <w:p>
      <w:pPr>
        <w:keepNext/>
        <w:keepLines/>
        <w:jc w:val="center"/>
        <w:rPr>
          <w:rFonts w:hint="eastAsia" w:ascii="宋体" w:hAnsi="宋体" w:eastAsia="宋体" w:cs="宋体"/>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bookmarkStart w:id="161" w:name="_GoBack"/>
      <w:bookmarkEnd w:id="161"/>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129"/>
            <w:jc w:val="center"/>
            <w:rPr>
              <w:rFonts w:ascii="黑体" w:hAnsi="黑体" w:eastAsia="黑体"/>
              <w:b/>
              <w:color w:val="auto"/>
              <w:sz w:val="44"/>
              <w:szCs w:val="44"/>
              <w:lang w:val="zh-CN"/>
            </w:rPr>
          </w:pPr>
          <w:bookmarkStart w:id="2" w:name="_Toc32654"/>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3"/>
            <w:tabs>
              <w:tab w:val="right" w:leader="dot" w:pos="9070"/>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color w:val="auto"/>
              <w:kern w:val="44"/>
              <w:szCs w:val="44"/>
            </w:rPr>
            <w:fldChar w:fldCharType="begin"/>
          </w:r>
          <w:r>
            <w:rPr>
              <w:rFonts w:hint="eastAsia" w:ascii="Calibri" w:hAnsi="Calibri"/>
              <w:bCs/>
              <w:color w:val="auto"/>
              <w:kern w:val="44"/>
              <w:szCs w:val="44"/>
            </w:rPr>
            <w:instrText xml:space="preserve"> HYPERLINK \l _Toc4250 </w:instrText>
          </w:r>
          <w:r>
            <w:rPr>
              <w:rFonts w:hint="eastAsia" w:ascii="Calibri" w:hAnsi="Calibri"/>
              <w:bCs/>
              <w:color w:val="auto"/>
              <w:kern w:val="44"/>
              <w:szCs w:val="44"/>
            </w:rPr>
            <w:fldChar w:fldCharType="separate"/>
          </w:r>
          <w:r>
            <w:rPr>
              <w:rFonts w:hint="eastAsia"/>
              <w:color w:val="auto"/>
            </w:rPr>
            <w:t>招标公告</w:t>
          </w:r>
          <w:r>
            <w:rPr>
              <w:color w:val="auto"/>
            </w:rPr>
            <w:tab/>
          </w:r>
          <w:r>
            <w:rPr>
              <w:color w:val="auto"/>
            </w:rPr>
            <w:fldChar w:fldCharType="begin"/>
          </w:r>
          <w:r>
            <w:rPr>
              <w:color w:val="auto"/>
            </w:rPr>
            <w:instrText xml:space="preserve"> PAGEREF _Toc4250 \h </w:instrText>
          </w:r>
          <w:r>
            <w:rPr>
              <w:color w:val="auto"/>
            </w:rPr>
            <w:fldChar w:fldCharType="separate"/>
          </w:r>
          <w:r>
            <w:rPr>
              <w:color w:val="auto"/>
            </w:rPr>
            <w:t>- 1 -</w:t>
          </w:r>
          <w:r>
            <w:rPr>
              <w:color w:val="auto"/>
            </w:rPr>
            <w:fldChar w:fldCharType="end"/>
          </w:r>
          <w:r>
            <w:rPr>
              <w:rFonts w:hint="eastAsia" w:ascii="Calibri" w:hAnsi="Calibri"/>
              <w:bCs/>
              <w:color w:val="auto"/>
              <w:kern w:val="44"/>
              <w:szCs w:val="44"/>
            </w:rPr>
            <w:fldChar w:fldCharType="end"/>
          </w:r>
        </w:p>
        <w:p>
          <w:pPr>
            <w:pStyle w:val="23"/>
            <w:tabs>
              <w:tab w:val="right" w:leader="dot" w:pos="9070"/>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_Toc27178 </w:instrText>
          </w:r>
          <w:r>
            <w:rPr>
              <w:rFonts w:hint="eastAsia" w:ascii="Calibri" w:hAnsi="Calibri" w:eastAsia="宋体" w:cs="Times New Roman"/>
              <w:bCs/>
              <w:color w:val="auto"/>
              <w:kern w:val="44"/>
              <w:szCs w:val="44"/>
            </w:rPr>
            <w:fldChar w:fldCharType="separate"/>
          </w:r>
          <w:r>
            <w:rPr>
              <w:rFonts w:hint="eastAsia"/>
              <w:color w:val="auto"/>
            </w:rPr>
            <w:t>第一部分  投标人须知</w:t>
          </w:r>
          <w:r>
            <w:rPr>
              <w:color w:val="auto"/>
            </w:rPr>
            <w:tab/>
          </w:r>
          <w:r>
            <w:rPr>
              <w:color w:val="auto"/>
            </w:rPr>
            <w:fldChar w:fldCharType="begin"/>
          </w:r>
          <w:r>
            <w:rPr>
              <w:color w:val="auto"/>
            </w:rPr>
            <w:instrText xml:space="preserve"> PAGEREF _Toc27178 \h </w:instrText>
          </w:r>
          <w:r>
            <w:rPr>
              <w:color w:val="auto"/>
            </w:rPr>
            <w:fldChar w:fldCharType="separate"/>
          </w:r>
          <w:r>
            <w:rPr>
              <w:color w:val="auto"/>
            </w:rPr>
            <w:t>- 5 -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0"/>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_Toc17894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val="en-US" w:eastAsia="zh-CN"/>
            </w:rPr>
            <w:t>二</w:t>
          </w:r>
          <w:r>
            <w:rPr>
              <w:rFonts w:hint="eastAsia"/>
              <w:color w:val="auto"/>
            </w:rPr>
            <w:t xml:space="preserve">部分 </w:t>
          </w:r>
          <w:r>
            <w:rPr>
              <w:rFonts w:hint="eastAsia"/>
              <w:color w:val="auto"/>
              <w:lang w:val="en-US" w:eastAsia="zh-CN"/>
            </w:rPr>
            <w:t xml:space="preserve"> </w:t>
          </w:r>
          <w:r>
            <w:rPr>
              <w:rFonts w:hint="eastAsia"/>
              <w:color w:val="auto"/>
            </w:rPr>
            <w:t>技术标书</w:t>
          </w:r>
          <w:r>
            <w:rPr>
              <w:color w:val="auto"/>
            </w:rPr>
            <w:tab/>
          </w:r>
          <w:r>
            <w:rPr>
              <w:color w:val="auto"/>
            </w:rPr>
            <w:fldChar w:fldCharType="begin"/>
          </w:r>
          <w:r>
            <w:rPr>
              <w:color w:val="auto"/>
            </w:rPr>
            <w:instrText xml:space="preserve"> PAGEREF _Toc17894 \h </w:instrText>
          </w:r>
          <w:r>
            <w:rPr>
              <w:color w:val="auto"/>
            </w:rPr>
            <w:fldChar w:fldCharType="separate"/>
          </w:r>
          <w:r>
            <w:rPr>
              <w:color w:val="auto"/>
            </w:rPr>
            <w:t>- 16 -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0"/>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_Toc18817 </w:instrText>
          </w:r>
          <w:r>
            <w:rPr>
              <w:rFonts w:hint="eastAsia" w:ascii="Calibri" w:hAnsi="Calibri" w:eastAsia="宋体" w:cs="Times New Roman"/>
              <w:bCs/>
              <w:color w:val="auto"/>
              <w:kern w:val="44"/>
              <w:szCs w:val="44"/>
            </w:rPr>
            <w:fldChar w:fldCharType="separate"/>
          </w:r>
          <w:r>
            <w:rPr>
              <w:rFonts w:hint="eastAsia"/>
              <w:color w:val="auto"/>
            </w:rPr>
            <w:t>第三部分　合同主要条款</w:t>
          </w:r>
          <w:r>
            <w:rPr>
              <w:color w:val="auto"/>
            </w:rPr>
            <w:tab/>
          </w:r>
          <w:r>
            <w:rPr>
              <w:color w:val="auto"/>
            </w:rPr>
            <w:fldChar w:fldCharType="begin"/>
          </w:r>
          <w:r>
            <w:rPr>
              <w:color w:val="auto"/>
            </w:rPr>
            <w:instrText xml:space="preserve"> PAGEREF _Toc18817 \h </w:instrText>
          </w:r>
          <w:r>
            <w:rPr>
              <w:color w:val="auto"/>
            </w:rPr>
            <w:fldChar w:fldCharType="separate"/>
          </w:r>
          <w:r>
            <w:rPr>
              <w:color w:val="auto"/>
            </w:rPr>
            <w:t>- 43 -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0"/>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_Toc21485 </w:instrText>
          </w:r>
          <w:r>
            <w:rPr>
              <w:rFonts w:hint="eastAsia" w:ascii="Calibri" w:hAnsi="Calibri" w:eastAsia="宋体" w:cs="Times New Roman"/>
              <w:bCs/>
              <w:color w:val="auto"/>
              <w:kern w:val="44"/>
              <w:szCs w:val="44"/>
            </w:rPr>
            <w:fldChar w:fldCharType="separate"/>
          </w:r>
          <w:r>
            <w:rPr>
              <w:rFonts w:hint="eastAsia"/>
              <w:color w:val="auto"/>
            </w:rPr>
            <w:t>第四部分　</w:t>
          </w:r>
          <w:r>
            <w:rPr>
              <w:rFonts w:hint="eastAsia"/>
              <w:color w:val="auto"/>
              <w:lang w:val="en-US" w:eastAsia="zh-CN"/>
            </w:rPr>
            <w:t>投标文件附件</w:t>
          </w:r>
          <w:r>
            <w:rPr>
              <w:color w:val="auto"/>
            </w:rPr>
            <w:tab/>
          </w:r>
          <w:r>
            <w:rPr>
              <w:color w:val="auto"/>
            </w:rPr>
            <w:fldChar w:fldCharType="begin"/>
          </w:r>
          <w:r>
            <w:rPr>
              <w:color w:val="auto"/>
            </w:rPr>
            <w:instrText xml:space="preserve"> PAGEREF _Toc21485 \h </w:instrText>
          </w:r>
          <w:r>
            <w:rPr>
              <w:color w:val="auto"/>
            </w:rPr>
            <w:fldChar w:fldCharType="separate"/>
          </w:r>
          <w:r>
            <w:rPr>
              <w:color w:val="auto"/>
            </w:rPr>
            <w:t>- 59 -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0"/>
            </w:tabs>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_Toc17167 </w:instrText>
          </w:r>
          <w:r>
            <w:rPr>
              <w:rFonts w:hint="eastAsia" w:ascii="Calibri" w:hAnsi="Calibri" w:eastAsia="宋体" w:cs="Times New Roman"/>
              <w:bCs/>
              <w:color w:val="auto"/>
              <w:kern w:val="44"/>
              <w:szCs w:val="44"/>
            </w:rPr>
            <w:fldChar w:fldCharType="separate"/>
          </w:r>
          <w:r>
            <w:rPr>
              <w:rFonts w:hint="eastAsia" w:ascii="宋体" w:hAnsi="宋体" w:eastAsia="宋体" w:cs="宋体"/>
              <w:color w:val="auto"/>
              <w:szCs w:val="32"/>
              <w:highlight w:val="none"/>
            </w:rPr>
            <w:t>附件</w:t>
          </w:r>
          <w:r>
            <w:rPr>
              <w:rFonts w:hint="eastAsia" w:ascii="宋体" w:hAnsi="宋体" w:eastAsia="宋体" w:cs="宋体"/>
              <w:color w:val="auto"/>
              <w:szCs w:val="32"/>
              <w:highlight w:val="none"/>
              <w:lang w:val="en-US" w:eastAsia="zh-CN"/>
            </w:rPr>
            <w:t>1</w:t>
          </w:r>
          <w:r>
            <w:rPr>
              <w:color w:val="auto"/>
            </w:rPr>
            <w:tab/>
          </w:r>
          <w:r>
            <w:rPr>
              <w:color w:val="auto"/>
            </w:rPr>
            <w:fldChar w:fldCharType="begin"/>
          </w:r>
          <w:r>
            <w:rPr>
              <w:color w:val="auto"/>
            </w:rPr>
            <w:instrText xml:space="preserve"> PAGEREF _Toc17167 \h </w:instrText>
          </w:r>
          <w:r>
            <w:rPr>
              <w:color w:val="auto"/>
            </w:rPr>
            <w:fldChar w:fldCharType="separate"/>
          </w:r>
          <w:r>
            <w:rPr>
              <w:color w:val="auto"/>
            </w:rPr>
            <w:t>- 59 -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8729"/>
            </w:tabs>
          </w:pPr>
          <w:r>
            <w:rPr>
              <w:rFonts w:hint="eastAsia" w:ascii="Calibri" w:hAnsi="Calibri" w:eastAsia="宋体" w:cs="Times New Roman"/>
              <w:bCs/>
              <w:kern w:val="44"/>
              <w:szCs w:val="44"/>
            </w:rPr>
            <w:fldChar w:fldCharType="end"/>
          </w:r>
        </w:p>
      </w:sdtContent>
    </w:sdt>
    <w:p>
      <w:pPr>
        <w:pStyle w:val="16"/>
        <w:tabs>
          <w:tab w:val="left" w:pos="2940"/>
        </w:tabs>
        <w:spacing w:line="360" w:lineRule="auto"/>
      </w:pPr>
      <w:r>
        <w:tab/>
      </w:r>
    </w:p>
    <w:p>
      <w:pPr>
        <w:pStyle w:val="16"/>
        <w:spacing w:line="360" w:lineRule="auto"/>
        <w:jc w:val="center"/>
      </w:pPr>
    </w:p>
    <w:p>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143"/>
      </w:pPr>
      <w:bookmarkStart w:id="3" w:name="_Toc4250"/>
      <w:bookmarkStart w:id="4" w:name="_Toc47976587"/>
      <w:r>
        <w:rPr>
          <w:rFonts w:hint="eastAsia"/>
        </w:rPr>
        <w:t>招标公告</w:t>
      </w:r>
      <w:bookmarkEnd w:id="3"/>
      <w:bookmarkEnd w:id="4"/>
    </w:p>
    <w:p>
      <w:pPr>
        <w:pStyle w:val="143"/>
        <w:rPr>
          <w:rFonts w:hint="eastAsia"/>
        </w:rPr>
      </w:pPr>
      <w:bookmarkStart w:id="5" w:name="_Toc6410"/>
      <w:bookmarkStart w:id="6" w:name="_Toc18859"/>
      <w:bookmarkStart w:id="7" w:name="_Toc15164"/>
      <w:bookmarkStart w:id="8" w:name="_Toc32474"/>
      <w:bookmarkStart w:id="9" w:name="_Toc14305"/>
      <w:r>
        <w:rPr>
          <w:rFonts w:hint="eastAsia"/>
          <w:sz w:val="28"/>
        </w:rPr>
        <w:t>轻卡焊装线KD改造项目招标公告</w:t>
      </w:r>
      <w:bookmarkEnd w:id="5"/>
      <w:bookmarkEnd w:id="6"/>
      <w:bookmarkEnd w:id="7"/>
      <w:bookmarkEnd w:id="8"/>
      <w:bookmarkEnd w:id="9"/>
    </w:p>
    <w:p>
      <w:pPr>
        <w:pStyle w:val="144"/>
      </w:pPr>
      <w:bookmarkStart w:id="10" w:name="_Toc47976588"/>
      <w:r>
        <w:rPr>
          <w:rFonts w:hint="eastAsia"/>
        </w:rPr>
        <w:t>项目名称及项目编号</w:t>
      </w:r>
      <w:bookmarkEnd w:id="10"/>
    </w:p>
    <w:p>
      <w:pPr>
        <w:pStyle w:val="145"/>
        <w:rPr>
          <w:sz w:val="24"/>
          <w:szCs w:val="24"/>
          <w:highlight w:val="none"/>
        </w:rPr>
      </w:pPr>
      <w:r>
        <w:rPr>
          <w:rFonts w:hint="eastAsia"/>
          <w:sz w:val="24"/>
          <w:szCs w:val="24"/>
        </w:rPr>
        <w:t>项</w:t>
      </w:r>
      <w:r>
        <w:rPr>
          <w:rFonts w:hint="eastAsia"/>
          <w:sz w:val="24"/>
          <w:szCs w:val="24"/>
          <w:highlight w:val="none"/>
        </w:rPr>
        <w:t>目名称：</w:t>
      </w:r>
      <w:r>
        <w:rPr>
          <w:rFonts w:hint="eastAsia" w:ascii="宋体"/>
          <w:sz w:val="24"/>
          <w:szCs w:val="24"/>
          <w:highlight w:val="yellow"/>
        </w:rPr>
        <w:t>轻卡焊装线KD改造项目</w:t>
      </w:r>
    </w:p>
    <w:p>
      <w:pPr>
        <w:pStyle w:val="145"/>
        <w:rPr>
          <w:sz w:val="24"/>
          <w:szCs w:val="24"/>
        </w:rPr>
      </w:pPr>
      <w:r>
        <w:rPr>
          <w:rFonts w:hint="eastAsia"/>
          <w:sz w:val="24"/>
          <w:szCs w:val="24"/>
        </w:rPr>
        <w:t>项目编号：ZBGL2026030379</w:t>
      </w:r>
    </w:p>
    <w:p>
      <w:pPr>
        <w:pStyle w:val="144"/>
      </w:pPr>
      <w:bookmarkStart w:id="11" w:name="_Toc47976589"/>
      <w:r>
        <w:rPr>
          <w:rFonts w:hint="eastAsia"/>
          <w:lang w:val="en-US" w:eastAsia="zh-CN"/>
        </w:rPr>
        <w:t>项目概况</w:t>
      </w:r>
      <w:r>
        <w:rPr>
          <w:rFonts w:hint="eastAsia"/>
        </w:rPr>
        <w:t>及招标形式</w:t>
      </w:r>
      <w:bookmarkEnd w:id="11"/>
    </w:p>
    <w:p>
      <w:pPr>
        <w:pStyle w:val="145"/>
        <w:numPr>
          <w:ilvl w:val="0"/>
          <w:numId w:val="6"/>
        </w:numPr>
        <w:rPr>
          <w:sz w:val="24"/>
          <w:szCs w:val="24"/>
          <w:highlight w:val="yellow"/>
        </w:rPr>
      </w:pPr>
      <w:r>
        <w:rPr>
          <w:rFonts w:hint="eastAsia"/>
          <w:sz w:val="24"/>
          <w:szCs w:val="24"/>
        </w:rPr>
        <w:t>招标内容：</w:t>
      </w:r>
      <w:r>
        <w:rPr>
          <w:rFonts w:hint="eastAsia"/>
          <w:sz w:val="24"/>
          <w:szCs w:val="24"/>
          <w:highlight w:val="yellow"/>
        </w:rPr>
        <w:t>改造现有轻卡自动化焊装线，</w:t>
      </w:r>
      <w:r>
        <w:rPr>
          <w:rFonts w:hint="eastAsia"/>
          <w:sz w:val="24"/>
          <w:szCs w:val="24"/>
          <w:highlight w:val="yellow"/>
          <w:lang w:val="en-US" w:eastAsia="zh-CN"/>
        </w:rPr>
        <w:t>使其</w:t>
      </w:r>
      <w:r>
        <w:rPr>
          <w:rFonts w:hint="eastAsia"/>
          <w:sz w:val="24"/>
          <w:szCs w:val="24"/>
          <w:highlight w:val="yellow"/>
        </w:rPr>
        <w:t>具备轻卡和全新一代中/宽体单排/排半全车型前围、后围及地板KD总成件的生产和下线能力，最终满足</w:t>
      </w:r>
      <w:r>
        <w:rPr>
          <w:rFonts w:hint="eastAsia"/>
          <w:sz w:val="24"/>
          <w:szCs w:val="24"/>
          <w:highlight w:val="yellow"/>
          <w:lang w:val="en-US" w:eastAsia="zh-CN"/>
        </w:rPr>
        <w:t>轻卡公司生产的</w:t>
      </w:r>
      <w:r>
        <w:rPr>
          <w:rFonts w:hint="eastAsia"/>
          <w:sz w:val="24"/>
          <w:szCs w:val="24"/>
          <w:highlight w:val="yellow"/>
        </w:rPr>
        <w:t>所有KD总成件的生产和下线</w:t>
      </w:r>
      <w:r>
        <w:rPr>
          <w:rFonts w:hint="eastAsia"/>
          <w:sz w:val="24"/>
          <w:szCs w:val="24"/>
          <w:highlight w:val="yellow"/>
          <w:lang w:eastAsia="zh-CN"/>
        </w:rPr>
        <w:t>。</w:t>
      </w:r>
    </w:p>
    <w:p>
      <w:pPr>
        <w:pStyle w:val="145"/>
        <w:rPr>
          <w:sz w:val="24"/>
          <w:szCs w:val="24"/>
        </w:rPr>
      </w:pPr>
      <w:r>
        <w:rPr>
          <w:rFonts w:hint="eastAsia"/>
          <w:sz w:val="24"/>
          <w:szCs w:val="24"/>
        </w:rPr>
        <w:t>招标形式：</w:t>
      </w:r>
      <w:r>
        <w:rPr>
          <w:rFonts w:hint="eastAsia"/>
          <w:sz w:val="24"/>
          <w:szCs w:val="24"/>
          <w:highlight w:val="yellow"/>
        </w:rPr>
        <w:t>公开招标</w:t>
      </w:r>
    </w:p>
    <w:p>
      <w:pPr>
        <w:pStyle w:val="144"/>
        <w:rPr>
          <w:highlight w:val="none"/>
        </w:rPr>
      </w:pPr>
      <w:bookmarkStart w:id="12" w:name="_Toc47976590"/>
      <w:r>
        <w:rPr>
          <w:rFonts w:hint="eastAsia"/>
          <w:highlight w:val="none"/>
        </w:rPr>
        <w:t>投标人资格要求</w:t>
      </w:r>
      <w:bookmarkEnd w:id="12"/>
      <w:r>
        <w:rPr>
          <w:rFonts w:hint="eastAsia"/>
          <w:highlight w:val="none"/>
          <w:lang w:eastAsia="zh-CN"/>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bookmarkStart w:id="13" w:name="_Toc47976591"/>
      <w:r>
        <w:rPr>
          <w:rFonts w:hint="eastAsia" w:ascii="宋体"/>
          <w:b w:val="0"/>
          <w:bCs/>
          <w:strike w:val="0"/>
          <w:dstrike w:val="0"/>
          <w:highlight w:val="none"/>
        </w:rPr>
        <w:t>投标人须遵守《中华人民共和国招标投标法》及其它有关的法律和法规；为中华人民共和国境内注册的独立法人机构，具有独立承担民事责任能力；</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拟标投人必须是在中华人民共和国境内注册的独立法人机构，具有独立承担民事责任能力；注册资金不少于</w:t>
      </w:r>
      <w:r>
        <w:rPr>
          <w:rFonts w:hint="eastAsia" w:ascii="宋体"/>
          <w:b w:val="0"/>
          <w:bCs/>
          <w:strike w:val="0"/>
          <w:dstrike w:val="0"/>
          <w:highlight w:val="none"/>
          <w:u w:val="single"/>
          <w:lang w:val="en-US" w:eastAsia="zh-CN"/>
        </w:rPr>
        <w:t xml:space="preserve"> 500 </w:t>
      </w:r>
      <w:r>
        <w:rPr>
          <w:rFonts w:hint="eastAsia" w:ascii="宋体"/>
          <w:b w:val="0"/>
          <w:bCs/>
          <w:strike w:val="0"/>
          <w:dstrike w:val="0"/>
          <w:highlight w:val="none"/>
          <w:u w:val="single"/>
        </w:rPr>
        <w:t>万</w:t>
      </w:r>
      <w:r>
        <w:rPr>
          <w:rFonts w:hint="eastAsia" w:ascii="宋体"/>
          <w:b w:val="0"/>
          <w:bCs/>
          <w:strike w:val="0"/>
          <w:dstrike w:val="0"/>
          <w:highlight w:val="none"/>
        </w:rPr>
        <w:t>人民币（或等值其他货币）；公司成立</w:t>
      </w:r>
      <w:r>
        <w:rPr>
          <w:rFonts w:hint="eastAsia" w:ascii="宋体"/>
          <w:b w:val="0"/>
          <w:bCs/>
          <w:strike w:val="0"/>
          <w:dstrike w:val="0"/>
          <w:highlight w:val="none"/>
          <w:u w:val="single"/>
          <w:lang w:val="en-US" w:eastAsia="zh-CN"/>
        </w:rPr>
        <w:t xml:space="preserve">  3  </w:t>
      </w:r>
      <w:r>
        <w:rPr>
          <w:rFonts w:hint="eastAsia" w:ascii="宋体"/>
          <w:b w:val="0"/>
          <w:bCs/>
          <w:strike w:val="0"/>
          <w:dstrike w:val="0"/>
          <w:highlight w:val="none"/>
        </w:rPr>
        <w:t>年以上（以营业执照成立日期到开标当日满</w:t>
      </w:r>
      <w:r>
        <w:rPr>
          <w:rFonts w:hint="eastAsia" w:ascii="宋体"/>
          <w:b w:val="0"/>
          <w:bCs/>
          <w:strike w:val="0"/>
          <w:dstrike w:val="0"/>
          <w:highlight w:val="none"/>
          <w:lang w:val="en-US" w:eastAsia="zh-CN"/>
        </w:rPr>
        <w:t xml:space="preserve"> 3 </w:t>
      </w:r>
      <w:r>
        <w:rPr>
          <w:rFonts w:hint="eastAsia" w:ascii="宋体"/>
          <w:b w:val="0"/>
          <w:bCs/>
          <w:strike w:val="0"/>
          <w:dstrike w:val="0"/>
          <w:highlight w:val="none"/>
        </w:rPr>
        <w:t>年为准），且经营范围满足招标人需求；并在人员、设备、资金等方面具有承担本项目的能力</w:t>
      </w:r>
      <w:r>
        <w:rPr>
          <w:rFonts w:hint="eastAsia" w:ascii="宋体"/>
          <w:b w:val="0"/>
          <w:bCs/>
          <w:strike w:val="0"/>
          <w:dstrike w:val="0"/>
          <w:highlight w:val="none"/>
          <w:lang w:eastAsia="zh-CN"/>
        </w:rPr>
        <w:t>，且满足技术、质量、资金等要求</w:t>
      </w:r>
      <w:r>
        <w:rPr>
          <w:rFonts w:hint="eastAsia" w:ascii="宋体"/>
          <w:b w:val="0"/>
          <w:bCs/>
          <w:strike w:val="0"/>
          <w:dstrike w:val="0"/>
          <w:highlight w:val="none"/>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拟投标人在“国家企业信用信息公示系统”、“中国执行信息公开网”、“信用中国”、“天眼查”“裁判文书网”等信息平台中，无行政处罚及失信记录等信息；</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无招标违规、谎报年度报告信息、提供虚假资质资料等行为或其他行政处罚记录；</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近三年内在经营活动中无与本项目有关的违法及重大违规情况</w:t>
      </w:r>
      <w:r>
        <w:rPr>
          <w:rFonts w:hint="eastAsia" w:ascii="宋体"/>
          <w:b w:val="0"/>
          <w:bCs/>
          <w:strike w:val="0"/>
          <w:dstrike w:val="0"/>
          <w:highlight w:val="none"/>
          <w:lang w:eastAsia="zh-CN"/>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ascii="宋体"/>
          <w:b w:val="0"/>
          <w:bCs/>
          <w:strike w:val="0"/>
          <w:dstrike w:val="0"/>
          <w:highlight w:val="none"/>
          <w:lang w:val="en-US" w:eastAsia="zh-CN"/>
        </w:rPr>
        <w:t>声明</w:t>
      </w:r>
      <w:r>
        <w:rPr>
          <w:rFonts w:hint="eastAsia" w:ascii="宋体"/>
          <w:b w:val="0"/>
          <w:bCs/>
          <w:strike w:val="0"/>
          <w:dstrike w:val="0"/>
          <w:highlight w:val="none"/>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公司经营范围满足招标项目需求；</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投标人须具有履行招标文件所有设备、专业技术等要求的能力；</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投标人须有依法缴纳税收和社会保障资金的良好记录；</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具有本次招标货物的供货、安装、售后服务等的相应资质；</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投标人须负责提供合理的便于运输的包装物，并承担相关费用</w:t>
      </w:r>
      <w:r>
        <w:rPr>
          <w:rFonts w:hint="eastAsia" w:ascii="宋体"/>
          <w:b w:val="0"/>
          <w:bCs/>
          <w:strike w:val="0"/>
          <w:dstrike w:val="0"/>
          <w:highlight w:val="none"/>
          <w:lang w:eastAsia="zh-CN"/>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投标人须认可招标人的工作指令，包括节、假日能正常开展工作的要求。</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lang w:val="en-US" w:eastAsia="zh-CN"/>
        </w:rPr>
        <w:t>拟投标人的直接或间接股东、法定代表人、董事、监事、高管非重汽员工及其亲属；</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投标人必须是最终投标、签订合同的单位，不得以任何理由将已中标项目以任何形式转包或者分包给其他单位</w:t>
      </w:r>
      <w:r>
        <w:rPr>
          <w:rFonts w:hint="eastAsia" w:ascii="宋体"/>
          <w:b w:val="0"/>
          <w:bCs/>
          <w:strike w:val="0"/>
          <w:dstrike w:val="0"/>
          <w:highlight w:val="none"/>
          <w:lang w:eastAsia="zh-CN"/>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法律、行政法规规定的其他条件</w:t>
      </w:r>
      <w:r>
        <w:rPr>
          <w:rFonts w:hint="eastAsia" w:ascii="宋体"/>
          <w:b w:val="0"/>
          <w:bCs/>
          <w:strike w:val="0"/>
          <w:dstrike w:val="0"/>
          <w:highlight w:val="none"/>
          <w:lang w:eastAsia="zh-CN"/>
        </w:rPr>
        <w:t>；</w:t>
      </w:r>
    </w:p>
    <w:p>
      <w:pPr>
        <w:pStyle w:val="144"/>
        <w:rPr>
          <w:highlight w:val="none"/>
        </w:rPr>
      </w:pPr>
      <w:r>
        <w:rPr>
          <w:rFonts w:hint="eastAsia"/>
          <w:highlight w:val="none"/>
        </w:rPr>
        <w:t>报名及招标文件的获取</w:t>
      </w:r>
      <w:bookmarkEnd w:id="13"/>
    </w:p>
    <w:p>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pPr>
        <w:pStyle w:val="144"/>
        <w:rPr>
          <w:rFonts w:hint="eastAsia" w:cs="Times New Roman"/>
          <w:highlight w:val="none"/>
        </w:rPr>
      </w:pPr>
      <w:bookmarkStart w:id="14" w:name="_Toc47976592"/>
      <w:r>
        <w:rPr>
          <w:rFonts w:hint="eastAsia" w:cs="Times New Roman"/>
          <w:highlight w:val="none"/>
        </w:rPr>
        <w:t>投标文件的递交</w:t>
      </w:r>
      <w:bookmarkEnd w:id="14"/>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w:t>
      </w:r>
      <w:r>
        <w:rPr>
          <w:rFonts w:hint="eastAsia" w:hAnsi="宋体" w:eastAsia="宋体" w:cs="宋体"/>
          <w:b w:val="0"/>
          <w:bCs w:val="0"/>
          <w:color w:val="000000"/>
          <w:sz w:val="24"/>
          <w:szCs w:val="24"/>
          <w:lang w:val="en-US" w:eastAsia="zh-CN"/>
        </w:rPr>
        <w:t>16</w:t>
      </w:r>
      <w:r>
        <w:rPr>
          <w:rFonts w:hint="eastAsia" w:ascii="宋体" w:hAnsi="宋体" w:eastAsia="宋体" w:cs="宋体"/>
          <w:b w:val="0"/>
          <w:bCs w:val="0"/>
          <w:color w:val="000000"/>
          <w:sz w:val="24"/>
          <w:szCs w:val="24"/>
        </w:rPr>
        <w:t>）进行注册，注册完毕后按照“SRM系统供应商用户手册（附件1</w:t>
      </w:r>
      <w:r>
        <w:rPr>
          <w:rFonts w:hint="eastAsia" w:hAnsi="宋体" w:eastAsia="宋体" w:cs="宋体"/>
          <w:b w:val="0"/>
          <w:bCs w:val="0"/>
          <w:color w:val="000000"/>
          <w:sz w:val="24"/>
          <w:szCs w:val="24"/>
          <w:lang w:val="en-US" w:eastAsia="zh-CN"/>
        </w:rPr>
        <w:t>7</w:t>
      </w:r>
      <w:r>
        <w:rPr>
          <w:rFonts w:hint="eastAsia" w:ascii="宋体" w:hAnsi="宋体" w:eastAsia="宋体" w:cs="宋体"/>
          <w:b w:val="0"/>
          <w:bCs w:val="0"/>
          <w:color w:val="000000"/>
          <w:sz w:val="24"/>
          <w:szCs w:val="24"/>
        </w:rPr>
        <w:t>）”，登录重汽e采通平台后进入“供应商应标”，选择对应的项目，点击“应标”后按照招标文件第三部分投标文件组成资格证明文</w:t>
      </w:r>
      <w:r>
        <w:rPr>
          <w:rFonts w:hint="eastAsia" w:ascii="宋体" w:hAnsi="宋体" w:eastAsia="宋体" w:cs="宋体"/>
          <w:b w:val="0"/>
          <w:bCs w:val="0"/>
          <w:color w:val="000000"/>
          <w:sz w:val="24"/>
          <w:szCs w:val="24"/>
          <w:highlight w:val="none"/>
        </w:rPr>
        <w:t>件中的1.1-1.</w:t>
      </w:r>
      <w:r>
        <w:rPr>
          <w:rFonts w:hint="eastAsia" w:hAnsi="宋体" w:eastAsia="宋体" w:cs="宋体"/>
          <w:b w:val="0"/>
          <w:bCs w:val="0"/>
          <w:color w:val="000000"/>
          <w:sz w:val="24"/>
          <w:szCs w:val="24"/>
          <w:highlight w:val="none"/>
          <w:lang w:eastAsia="zh-CN"/>
        </w:rPr>
        <w:t>2</w:t>
      </w:r>
      <w:r>
        <w:rPr>
          <w:rFonts w:hint="eastAsia"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准备</w:t>
      </w:r>
      <w:r>
        <w:rPr>
          <w:rFonts w:hint="eastAsia" w:ascii="宋体" w:hAnsi="宋体" w:eastAsia="宋体" w:cs="宋体"/>
          <w:b w:val="0"/>
          <w:bCs w:val="0"/>
          <w:color w:val="000000"/>
          <w:sz w:val="24"/>
          <w:szCs w:val="24"/>
        </w:rPr>
        <w:t>资料并上传，资质审查通过即为报名成功；公示期间请尽快报名。</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w:t>
      </w:r>
      <w:r>
        <w:rPr>
          <w:rFonts w:hint="eastAsia" w:ascii="宋体" w:hAnsi="宋体" w:eastAsia="宋体" w:cs="宋体"/>
          <w:b w:val="0"/>
          <w:bCs w:val="0"/>
          <w:color w:val="FF0000"/>
          <w:sz w:val="24"/>
          <w:szCs w:val="24"/>
          <w:highlight w:val="yellow"/>
          <w:lang w:val="en-US" w:eastAsia="zh-CN"/>
        </w:rPr>
        <w:t>2026年</w:t>
      </w:r>
      <w:r>
        <w:rPr>
          <w:rFonts w:hint="eastAsia" w:hAnsi="宋体" w:eastAsia="宋体" w:cs="宋体"/>
          <w:b w:val="0"/>
          <w:bCs w:val="0"/>
          <w:color w:val="FF0000"/>
          <w:sz w:val="24"/>
          <w:szCs w:val="24"/>
          <w:highlight w:val="yellow"/>
          <w:lang w:val="en-US" w:eastAsia="zh-CN"/>
        </w:rPr>
        <w:t>4</w:t>
      </w:r>
      <w:r>
        <w:rPr>
          <w:rFonts w:hint="eastAsia" w:ascii="宋体" w:hAnsi="宋体" w:eastAsia="宋体" w:cs="宋体"/>
          <w:b w:val="0"/>
          <w:bCs w:val="0"/>
          <w:color w:val="FF0000"/>
          <w:sz w:val="24"/>
          <w:szCs w:val="24"/>
          <w:highlight w:val="yellow"/>
          <w:lang w:val="en-US" w:eastAsia="zh-CN"/>
        </w:rPr>
        <w:t>月</w:t>
      </w:r>
      <w:r>
        <w:rPr>
          <w:rFonts w:hint="eastAsia" w:hAnsi="宋体" w:eastAsia="宋体" w:cs="宋体"/>
          <w:b w:val="0"/>
          <w:bCs w:val="0"/>
          <w:color w:val="FF0000"/>
          <w:sz w:val="24"/>
          <w:szCs w:val="24"/>
          <w:highlight w:val="yellow"/>
          <w:lang w:val="en-US" w:eastAsia="zh-CN"/>
        </w:rPr>
        <w:t>10</w:t>
      </w:r>
      <w:r>
        <w:rPr>
          <w:rFonts w:hint="eastAsia" w:ascii="宋体" w:hAnsi="宋体" w:eastAsia="宋体" w:cs="宋体"/>
          <w:b w:val="0"/>
          <w:bCs w:val="0"/>
          <w:color w:val="FF0000"/>
          <w:sz w:val="24"/>
          <w:szCs w:val="24"/>
          <w:highlight w:val="yellow"/>
          <w:lang w:val="en-US" w:eastAsia="zh-CN"/>
        </w:rPr>
        <w:t>日17时00分00秒</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w:t>
      </w:r>
      <w:r>
        <w:rPr>
          <w:rFonts w:hint="eastAsia" w:hAnsi="宋体" w:eastAsia="宋体" w:cs="宋体"/>
          <w:b w:val="0"/>
          <w:bCs w:val="0"/>
          <w:color w:val="000000"/>
          <w:sz w:val="24"/>
          <w:szCs w:val="24"/>
          <w:highlight w:val="yellow"/>
          <w:lang w:val="en-US" w:eastAsia="zh-CN"/>
        </w:rPr>
        <w:t>济南轻卡制造公司</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w:t>
      </w:r>
      <w:r>
        <w:rPr>
          <w:rFonts w:hint="eastAsia" w:hAnsi="宋体" w:eastAsia="宋体" w:cs="宋体"/>
          <w:b w:val="0"/>
          <w:bCs w:val="0"/>
          <w:color w:val="000000"/>
          <w:sz w:val="24"/>
          <w:szCs w:val="24"/>
          <w:highlight w:val="yellow"/>
          <w:lang w:val="en-US" w:eastAsia="zh-CN"/>
        </w:rPr>
        <w:t>唐绍丰</w:t>
      </w:r>
      <w:r>
        <w:rPr>
          <w:rFonts w:hint="eastAsia" w:ascii="宋体" w:hAnsi="宋体" w:eastAsia="宋体" w:cs="宋体"/>
          <w:b w:val="0"/>
          <w:bCs w:val="0"/>
          <w:color w:val="000000"/>
          <w:sz w:val="24"/>
          <w:szCs w:val="24"/>
          <w:highlight w:val="yellow"/>
          <w:lang w:val="en-US" w:eastAsia="zh-CN"/>
        </w:rPr>
        <w:t>/</w:t>
      </w:r>
      <w:r>
        <w:rPr>
          <w:rFonts w:hint="eastAsia" w:hAnsi="宋体" w:eastAsia="宋体" w:cs="宋体"/>
          <w:b w:val="0"/>
          <w:bCs w:val="0"/>
          <w:color w:val="000000"/>
          <w:sz w:val="24"/>
          <w:szCs w:val="24"/>
          <w:highlight w:val="yellow"/>
          <w:lang w:val="en-US" w:eastAsia="zh-CN"/>
        </w:rPr>
        <w:t>18764126812</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color w:val="FF0000"/>
          <w:sz w:val="24"/>
          <w:szCs w:val="24"/>
          <w:highlight w:val="yellow"/>
        </w:rPr>
        <w:t>202</w:t>
      </w:r>
      <w:r>
        <w:rPr>
          <w:rFonts w:hint="eastAsia" w:hAnsi="宋体" w:eastAsia="宋体" w:cs="宋体"/>
          <w:bCs/>
          <w:color w:val="FF0000"/>
          <w:sz w:val="24"/>
          <w:szCs w:val="24"/>
          <w:highlight w:val="yellow"/>
          <w:lang w:val="en-US" w:eastAsia="zh-CN"/>
        </w:rPr>
        <w:t>6</w:t>
      </w:r>
      <w:r>
        <w:rPr>
          <w:rFonts w:hint="eastAsia" w:ascii="宋体" w:hAnsi="宋体" w:eastAsia="宋体" w:cs="宋体"/>
          <w:bCs/>
          <w:color w:val="FF0000"/>
          <w:sz w:val="24"/>
          <w:szCs w:val="24"/>
          <w:highlight w:val="yellow"/>
        </w:rPr>
        <w:t>年</w:t>
      </w:r>
      <w:r>
        <w:rPr>
          <w:rFonts w:hint="eastAsia" w:hAnsi="宋体" w:eastAsia="宋体" w:cs="宋体"/>
          <w:bCs/>
          <w:color w:val="FF0000"/>
          <w:sz w:val="24"/>
          <w:szCs w:val="24"/>
          <w:highlight w:val="yellow"/>
          <w:lang w:val="en-US" w:eastAsia="zh-CN"/>
        </w:rPr>
        <w:t>4</w:t>
      </w:r>
      <w:r>
        <w:rPr>
          <w:rFonts w:hint="eastAsia" w:ascii="宋体" w:hAnsi="宋体" w:eastAsia="宋体" w:cs="宋体"/>
          <w:bCs/>
          <w:color w:val="FF0000"/>
          <w:sz w:val="24"/>
          <w:szCs w:val="24"/>
          <w:highlight w:val="yellow"/>
        </w:rPr>
        <w:t>月</w:t>
      </w:r>
      <w:r>
        <w:rPr>
          <w:rFonts w:hint="eastAsia" w:hAnsi="宋体" w:eastAsia="宋体" w:cs="宋体"/>
          <w:bCs/>
          <w:color w:val="FF0000"/>
          <w:sz w:val="24"/>
          <w:szCs w:val="24"/>
          <w:highlight w:val="yellow"/>
          <w:lang w:val="en-US" w:eastAsia="zh-CN"/>
        </w:rPr>
        <w:t>20</w:t>
      </w:r>
      <w:r>
        <w:rPr>
          <w:rFonts w:hint="eastAsia" w:ascii="宋体" w:hAnsi="宋体" w:eastAsia="宋体" w:cs="宋体"/>
          <w:bCs/>
          <w:color w:val="FF0000"/>
          <w:sz w:val="24"/>
          <w:szCs w:val="24"/>
          <w:highlight w:val="yellow"/>
        </w:rPr>
        <w:t>日</w:t>
      </w:r>
      <w:r>
        <w:rPr>
          <w:rFonts w:hint="eastAsia" w:hAnsi="宋体" w:eastAsia="宋体" w:cs="宋体"/>
          <w:color w:val="FF0000"/>
          <w:kern w:val="0"/>
          <w:sz w:val="24"/>
          <w:szCs w:val="24"/>
          <w:highlight w:val="yellow"/>
          <w:shd w:val="clear"/>
        </w:rPr>
        <w:t>上午9</w:t>
      </w:r>
      <w:r>
        <w:rPr>
          <w:rFonts w:hint="eastAsia" w:hAnsi="宋体" w:eastAsia="宋体" w:cs="宋体"/>
          <w:color w:val="FF0000"/>
          <w:sz w:val="24"/>
          <w:szCs w:val="24"/>
          <w:highlight w:val="yellow"/>
          <w:shd w:val="clear"/>
        </w:rPr>
        <w:t>:00:00</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pPr>
        <w:pStyle w:val="144"/>
        <w:rPr>
          <w:highlight w:val="none"/>
        </w:rPr>
      </w:pPr>
      <w:r>
        <w:rPr>
          <w:rFonts w:hint="eastAsia"/>
          <w:highlight w:val="none"/>
          <w:lang w:val="en-US" w:eastAsia="zh-CN"/>
        </w:rPr>
        <w:t>开标时间和地点</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w:t>
      </w:r>
      <w:r>
        <w:rPr>
          <w:rFonts w:hint="eastAsia" w:ascii="宋体" w:hAnsi="宋体" w:eastAsia="宋体" w:cs="宋体"/>
          <w:b w:val="0"/>
          <w:bCs w:val="0"/>
          <w:color w:val="FF0000"/>
          <w:sz w:val="24"/>
          <w:szCs w:val="24"/>
          <w:highlight w:val="yellow"/>
        </w:rPr>
        <w:t>2026年</w:t>
      </w:r>
      <w:r>
        <w:rPr>
          <w:rFonts w:hint="eastAsia" w:hAnsi="宋体" w:eastAsia="宋体" w:cs="宋体"/>
          <w:b w:val="0"/>
          <w:bCs w:val="0"/>
          <w:color w:val="FF0000"/>
          <w:sz w:val="24"/>
          <w:szCs w:val="24"/>
          <w:highlight w:val="yellow"/>
          <w:lang w:val="en-US" w:eastAsia="zh-CN"/>
        </w:rPr>
        <w:t>4</w:t>
      </w:r>
      <w:r>
        <w:rPr>
          <w:rFonts w:hint="eastAsia" w:ascii="宋体" w:hAnsi="宋体" w:eastAsia="宋体" w:cs="宋体"/>
          <w:b w:val="0"/>
          <w:bCs w:val="0"/>
          <w:color w:val="FF0000"/>
          <w:sz w:val="24"/>
          <w:szCs w:val="24"/>
          <w:highlight w:val="yellow"/>
        </w:rPr>
        <w:t>月</w:t>
      </w:r>
      <w:r>
        <w:rPr>
          <w:rFonts w:hint="eastAsia" w:hAnsi="宋体" w:eastAsia="宋体" w:cs="宋体"/>
          <w:b w:val="0"/>
          <w:bCs w:val="0"/>
          <w:color w:val="FF0000"/>
          <w:sz w:val="24"/>
          <w:szCs w:val="24"/>
          <w:highlight w:val="yellow"/>
          <w:lang w:val="en-US" w:eastAsia="zh-CN"/>
        </w:rPr>
        <w:t>20</w:t>
      </w:r>
      <w:r>
        <w:rPr>
          <w:rFonts w:hint="eastAsia" w:ascii="宋体" w:hAnsi="宋体" w:eastAsia="宋体" w:cs="宋体"/>
          <w:b w:val="0"/>
          <w:bCs w:val="0"/>
          <w:color w:val="FF0000"/>
          <w:sz w:val="24"/>
          <w:szCs w:val="24"/>
          <w:highlight w:val="yellow"/>
        </w:rPr>
        <w:t>日9:00:00</w:t>
      </w:r>
      <w:r>
        <w:rPr>
          <w:rFonts w:hint="eastAsia" w:ascii="宋体" w:hAnsi="宋体" w:eastAsia="宋体" w:cs="宋体"/>
          <w:b w:val="0"/>
          <w:bCs w:val="0"/>
          <w:color w:val="000000"/>
          <w:sz w:val="24"/>
          <w:szCs w:val="24"/>
          <w:highlight w:val="yellow"/>
        </w:rPr>
        <w:t>。</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pPr>
        <w:pStyle w:val="144"/>
      </w:pPr>
      <w:bookmarkStart w:id="15" w:name="_Toc47976593"/>
      <w:r>
        <w:rPr>
          <w:rFonts w:hint="eastAsia"/>
        </w:rPr>
        <w:t>招标公告发布媒介</w:t>
      </w:r>
      <w:bookmarkEnd w:id="15"/>
    </w:p>
    <w:p>
      <w:pPr>
        <w:pStyle w:val="145"/>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pPr>
        <w:pStyle w:val="144"/>
        <w:rPr>
          <w:highlight w:val="none"/>
        </w:rPr>
      </w:pPr>
      <w:bookmarkStart w:id="16" w:name="_Toc47976594"/>
      <w:r>
        <w:rPr>
          <w:rFonts w:hint="eastAsia"/>
          <w:highlight w:val="none"/>
        </w:rPr>
        <w:t>联系方式</w:t>
      </w:r>
      <w:bookmarkEnd w:id="16"/>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b w:val="0"/>
          <w:bCs w:val="0"/>
          <w:color w:val="000000"/>
          <w:kern w:val="2"/>
          <w:sz w:val="24"/>
          <w:szCs w:val="24"/>
          <w:highlight w:val="yellow"/>
          <w:lang w:val="en-US" w:eastAsia="zh-CN" w:bidi="ar-SA"/>
        </w:rPr>
        <w:t xml:space="preserve">中国重汽集团济南商用车有限公司 </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 w:val="0"/>
          <w:bCs w:val="0"/>
          <w:color w:val="000000"/>
          <w:kern w:val="2"/>
          <w:sz w:val="24"/>
          <w:szCs w:val="24"/>
          <w:highlight w:val="yellow"/>
          <w:lang w:val="en-US" w:eastAsia="zh-CN" w:bidi="ar-SA"/>
        </w:rPr>
        <w:t>唐绍丰</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 w:val="0"/>
          <w:bCs w:val="0"/>
          <w:color w:val="000000"/>
          <w:kern w:val="2"/>
          <w:sz w:val="24"/>
          <w:szCs w:val="24"/>
          <w:highlight w:val="yellow"/>
          <w:lang w:val="en-US" w:eastAsia="zh-CN" w:bidi="ar-SA"/>
        </w:rPr>
        <w:t>18764126812</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val="0"/>
          <w:bCs w:val="0"/>
          <w:color w:val="000000"/>
          <w:kern w:val="2"/>
          <w:sz w:val="24"/>
          <w:szCs w:val="24"/>
          <w:highlight w:val="yellow"/>
          <w:lang w:val="en-US" w:eastAsia="zh-CN" w:bidi="ar-SA"/>
        </w:rPr>
        <w:fldChar w:fldCharType="begin"/>
      </w:r>
      <w:r>
        <w:rPr>
          <w:rFonts w:hint="eastAsia" w:ascii="宋体" w:hAnsi="宋体" w:eastAsia="宋体" w:cs="宋体"/>
          <w:b w:val="0"/>
          <w:bCs w:val="0"/>
          <w:color w:val="000000"/>
          <w:kern w:val="2"/>
          <w:sz w:val="24"/>
          <w:szCs w:val="24"/>
          <w:highlight w:val="yellow"/>
          <w:lang w:val="en-US" w:eastAsia="zh-CN" w:bidi="ar-SA"/>
        </w:rPr>
        <w:instrText xml:space="preserve"> HYPERLINK "mailto:xuyanan@sinotruk.com" </w:instrText>
      </w:r>
      <w:r>
        <w:rPr>
          <w:rFonts w:hint="eastAsia" w:ascii="宋体" w:hAnsi="宋体" w:eastAsia="宋体" w:cs="宋体"/>
          <w:b w:val="0"/>
          <w:bCs w:val="0"/>
          <w:color w:val="000000"/>
          <w:kern w:val="2"/>
          <w:sz w:val="24"/>
          <w:szCs w:val="24"/>
          <w:highlight w:val="yellow"/>
          <w:lang w:val="en-US" w:eastAsia="zh-CN" w:bidi="ar-SA"/>
        </w:rPr>
        <w:fldChar w:fldCharType="separate"/>
      </w:r>
      <w:r>
        <w:rPr>
          <w:rFonts w:hint="eastAsia" w:ascii="宋体" w:hAnsi="宋体" w:eastAsia="宋体" w:cs="宋体"/>
          <w:b w:val="0"/>
          <w:bCs w:val="0"/>
          <w:color w:val="000000"/>
          <w:kern w:val="2"/>
          <w:sz w:val="24"/>
          <w:szCs w:val="24"/>
          <w:highlight w:val="yellow"/>
          <w:lang w:val="en-US" w:eastAsia="zh-CN" w:bidi="ar-SA"/>
        </w:rPr>
        <w:t>tangsf@sinotruk.com</w:t>
      </w:r>
      <w:r>
        <w:rPr>
          <w:rFonts w:hint="eastAsia" w:ascii="宋体" w:hAnsi="宋体" w:eastAsia="宋体" w:cs="宋体"/>
          <w:b w:val="0"/>
          <w:bCs w:val="0"/>
          <w:color w:val="000000"/>
          <w:kern w:val="2"/>
          <w:sz w:val="24"/>
          <w:szCs w:val="24"/>
          <w:highlight w:val="yellow"/>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 w:val="0"/>
          <w:bCs w:val="0"/>
          <w:color w:val="000000"/>
          <w:kern w:val="2"/>
          <w:sz w:val="24"/>
          <w:szCs w:val="24"/>
          <w:highlight w:val="yellow"/>
          <w:lang w:val="en-US" w:eastAsia="zh-CN" w:bidi="ar-SA"/>
        </w:rPr>
        <w:t>陈东旭</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 w:val="0"/>
          <w:bCs w:val="0"/>
          <w:color w:val="000000"/>
          <w:kern w:val="2"/>
          <w:sz w:val="24"/>
          <w:szCs w:val="24"/>
          <w:highlight w:val="yellow"/>
          <w:lang w:val="en-US" w:eastAsia="zh-CN" w:bidi="ar-SA"/>
        </w:rPr>
        <w:t>17860603378</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 w:val="0"/>
          <w:bCs w:val="0"/>
          <w:color w:val="000000"/>
          <w:kern w:val="2"/>
          <w:sz w:val="24"/>
          <w:szCs w:val="24"/>
          <w:highlight w:val="yellow"/>
          <w:lang w:val="en-US" w:eastAsia="zh-CN" w:bidi="ar-SA"/>
        </w:rPr>
        <w:t>chendongxu@sinotruk.com</w:t>
      </w:r>
    </w:p>
    <w:p>
      <w:pPr>
        <w:pStyle w:val="146"/>
      </w:pPr>
    </w:p>
    <w:p>
      <w:pPr>
        <w:pStyle w:val="146"/>
        <w:jc w:val="both"/>
        <w:rPr>
          <w:rFonts w:hint="default"/>
          <w:highlight w:val="cyan"/>
          <w:u w:val="single"/>
          <w:lang w:val="en-US" w:eastAsia="zh-CN"/>
        </w:rPr>
      </w:pPr>
    </w:p>
    <w:p>
      <w:pPr>
        <w:pStyle w:val="146"/>
        <w:jc w:val="right"/>
        <w:rPr>
          <w:rFonts w:hint="eastAsia"/>
          <w:highlight w:val="cyan"/>
          <w:u w:val="single"/>
          <w:lang w:val="en-US" w:eastAsia="zh-CN"/>
        </w:rPr>
      </w:pPr>
    </w:p>
    <w:p>
      <w:pPr>
        <w:pStyle w:val="146"/>
        <w:jc w:val="right"/>
        <w:rPr>
          <w:rFonts w:hint="eastAsia"/>
          <w:highlight w:val="cyan"/>
          <w:u w:val="single"/>
          <w:lang w:val="en-US" w:eastAsia="zh-CN"/>
        </w:rPr>
      </w:pPr>
    </w:p>
    <w:p>
      <w:pPr>
        <w:pStyle w:val="14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03</w:t>
      </w:r>
      <w:r>
        <w:rPr>
          <w:rFonts w:hint="eastAsia"/>
        </w:rPr>
        <w:t>月</w:t>
      </w:r>
      <w:r>
        <w:rPr>
          <w:rFonts w:hint="eastAsia"/>
          <w:u w:val="single"/>
          <w:lang w:val="en-US" w:eastAsia="zh-CN"/>
        </w:rPr>
        <w:t>30</w:t>
      </w:r>
      <w:r>
        <w:rPr>
          <w:rFonts w:hint="eastAsia"/>
        </w:rPr>
        <w:t>日</w:t>
      </w:r>
    </w:p>
    <w:p>
      <w:pPr>
        <w:pStyle w:val="146"/>
      </w:pPr>
    </w:p>
    <w:p>
      <w:pPr>
        <w:pStyle w:val="146"/>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pPr>
        <w:pStyle w:val="143"/>
      </w:pPr>
      <w:bookmarkStart w:id="17" w:name="_Toc47976595"/>
      <w:bookmarkStart w:id="18" w:name="_Toc27178"/>
      <w:r>
        <w:rPr>
          <w:rFonts w:hint="eastAsia"/>
        </w:rPr>
        <w:t>第一部分  投标人须知</w:t>
      </w:r>
      <w:bookmarkEnd w:id="17"/>
      <w:bookmarkEnd w:id="18"/>
    </w:p>
    <w:p>
      <w:pPr>
        <w:pStyle w:val="144"/>
        <w:numPr>
          <w:ilvl w:val="0"/>
          <w:numId w:val="8"/>
        </w:numPr>
        <w:ind w:left="420"/>
        <w:jc w:val="left"/>
      </w:pPr>
      <w:bookmarkStart w:id="19" w:name="_Toc47976596"/>
      <w:r>
        <w:rPr>
          <w:rFonts w:hint="eastAsia"/>
        </w:rPr>
        <w:t>项目介绍</w:t>
      </w:r>
      <w:bookmarkEnd w:id="19"/>
    </w:p>
    <w:p>
      <w:pPr>
        <w:pStyle w:val="146"/>
        <w:numPr>
          <w:ilvl w:val="0"/>
          <w:numId w:val="9"/>
        </w:numPr>
        <w:ind w:left="425" w:leftChars="0" w:hanging="425" w:firstLineChars="0"/>
        <w:rPr>
          <w:b/>
          <w:bCs/>
          <w:sz w:val="24"/>
          <w:szCs w:val="24"/>
          <w:highlight w:val="none"/>
        </w:rPr>
      </w:pPr>
      <w:r>
        <w:rPr>
          <w:rFonts w:hint="eastAsia"/>
          <w:b/>
          <w:bCs/>
          <w:sz w:val="24"/>
          <w:szCs w:val="24"/>
          <w:highlight w:val="none"/>
        </w:rPr>
        <w:t>项目名称：</w:t>
      </w:r>
      <w:r>
        <w:rPr>
          <w:rFonts w:hint="eastAsia" w:ascii="宋体"/>
          <w:b/>
          <w:bCs/>
          <w:sz w:val="28"/>
          <w:szCs w:val="28"/>
          <w:highlight w:val="yellow"/>
          <w:lang w:val="en-US" w:eastAsia="zh-CN"/>
        </w:rPr>
        <w:t>轻卡焊装线KD改造项目</w:t>
      </w:r>
    </w:p>
    <w:p>
      <w:pPr>
        <w:pStyle w:val="146"/>
        <w:numPr>
          <w:ilvl w:val="0"/>
          <w:numId w:val="9"/>
        </w:numPr>
        <w:ind w:left="425" w:leftChars="0" w:hanging="425" w:firstLineChars="0"/>
        <w:rPr>
          <w:rFonts w:hint="eastAsia" w:ascii="宋体"/>
          <w:b/>
          <w:bCs/>
          <w:sz w:val="28"/>
          <w:szCs w:val="28"/>
          <w:highlight w:val="none"/>
        </w:rPr>
      </w:pPr>
      <w:r>
        <w:rPr>
          <w:rFonts w:hint="eastAsia"/>
          <w:b/>
          <w:bCs/>
          <w:sz w:val="24"/>
          <w:szCs w:val="24"/>
          <w:highlight w:val="none"/>
        </w:rPr>
        <w:t>项目编号：ZBGL2026030379</w:t>
      </w:r>
    </w:p>
    <w:p>
      <w:pPr>
        <w:pStyle w:val="146"/>
        <w:numPr>
          <w:ilvl w:val="0"/>
          <w:numId w:val="9"/>
        </w:numPr>
        <w:ind w:left="425" w:leftChars="0" w:hanging="425" w:firstLineChars="0"/>
        <w:rPr>
          <w:b/>
          <w:bCs/>
          <w:sz w:val="24"/>
          <w:szCs w:val="24"/>
          <w:highlight w:val="none"/>
        </w:rPr>
      </w:pPr>
      <w:r>
        <w:rPr>
          <w:rFonts w:hint="eastAsia"/>
          <w:b/>
          <w:bCs/>
          <w:sz w:val="24"/>
          <w:szCs w:val="24"/>
          <w:highlight w:val="none"/>
        </w:rPr>
        <w:t>招标形式：</w:t>
      </w:r>
      <w:bookmarkStart w:id="20" w:name="_Toc47112482"/>
      <w:r>
        <w:rPr>
          <w:rFonts w:hint="eastAsia" w:ascii="宋体" w:hAnsi="宋体" w:eastAsia="宋体" w:cs="宋体"/>
          <w:b/>
          <w:bCs/>
          <w:sz w:val="24"/>
          <w:szCs w:val="24"/>
          <w:highlight w:val="none"/>
          <w:lang w:val="en-US" w:eastAsia="zh-CN"/>
        </w:rPr>
        <w:t>公开招标</w:t>
      </w:r>
    </w:p>
    <w:p>
      <w:pPr>
        <w:pStyle w:val="146"/>
        <w:numPr>
          <w:ilvl w:val="0"/>
          <w:numId w:val="9"/>
        </w:numPr>
        <w:ind w:left="425" w:leftChars="0" w:hanging="425" w:firstLineChars="0"/>
        <w:rPr>
          <w:b/>
          <w:bCs/>
          <w:sz w:val="24"/>
          <w:szCs w:val="24"/>
          <w:highlight w:val="none"/>
        </w:rPr>
      </w:pPr>
      <w:r>
        <w:rPr>
          <w:rFonts w:hint="eastAsia"/>
          <w:b/>
          <w:bCs/>
          <w:sz w:val="24"/>
          <w:szCs w:val="24"/>
          <w:highlight w:val="none"/>
          <w:lang w:val="en-US" w:eastAsia="zh-CN"/>
        </w:rPr>
        <w:t>项目概况：</w:t>
      </w:r>
      <w:r>
        <w:rPr>
          <w:rFonts w:hint="eastAsia"/>
          <w:b/>
          <w:bCs/>
          <w:sz w:val="24"/>
          <w:szCs w:val="24"/>
          <w:highlight w:val="yellow"/>
          <w:lang w:val="en-US" w:eastAsia="zh-CN"/>
        </w:rPr>
        <w:t>改造现有轻卡自动化焊装线，使其具备轻卡和全新一代中/宽体单排/排半全车型前围、后围及地板KD总成件的生产和下线能力，最终满足轻卡公司生产的所有KD总成件的生产和下线。</w:t>
      </w:r>
    </w:p>
    <w:p>
      <w:pPr>
        <w:pStyle w:val="146"/>
        <w:numPr>
          <w:ilvl w:val="0"/>
          <w:numId w:val="9"/>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pPr>
        <w:pStyle w:val="146"/>
        <w:numPr>
          <w:ilvl w:val="0"/>
          <w:numId w:val="9"/>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146"/>
        <w:numPr>
          <w:ilvl w:val="0"/>
          <w:numId w:val="9"/>
        </w:numPr>
        <w:ind w:left="425" w:leftChars="0" w:hanging="425" w:firstLineChars="0"/>
        <w:rPr>
          <w:rFonts w:hint="eastAsia" w:cs="Times New Roman"/>
          <w:b/>
          <w:bCs/>
          <w:sz w:val="24"/>
          <w:szCs w:val="24"/>
          <w:highlight w:val="none"/>
          <w:lang w:val="en-US" w:eastAsia="zh-CN"/>
        </w:rPr>
      </w:pPr>
      <w:r>
        <w:rPr>
          <w:rFonts w:hint="eastAsia" w:ascii="宋体"/>
          <w:b/>
          <w:bCs/>
          <w:sz w:val="24"/>
          <w:szCs w:val="24"/>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bookmarkEnd w:id="20"/>
    <w:p>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bookmarkStart w:id="21" w:name="_Toc47976598"/>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 w:val="0"/>
          <w:bCs w:val="0"/>
          <w:color w:val="000000"/>
          <w:kern w:val="2"/>
          <w:sz w:val="24"/>
          <w:szCs w:val="24"/>
          <w:highlight w:val="yellow"/>
          <w:lang w:val="en-US" w:eastAsia="zh-CN" w:bidi="ar-SA"/>
        </w:rPr>
        <w:t>唐绍丰</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 w:val="0"/>
          <w:bCs w:val="0"/>
          <w:color w:val="000000"/>
          <w:kern w:val="2"/>
          <w:sz w:val="24"/>
          <w:szCs w:val="24"/>
          <w:highlight w:val="yellow"/>
          <w:lang w:val="en-US" w:eastAsia="zh-CN" w:bidi="ar-SA"/>
        </w:rPr>
        <w:t>18764126812</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val="0"/>
          <w:bCs w:val="0"/>
          <w:color w:val="000000"/>
          <w:kern w:val="2"/>
          <w:sz w:val="24"/>
          <w:szCs w:val="24"/>
          <w:highlight w:val="yellow"/>
          <w:lang w:val="en-US" w:eastAsia="zh-CN" w:bidi="ar-SA"/>
        </w:rPr>
        <w:fldChar w:fldCharType="begin"/>
      </w:r>
      <w:r>
        <w:rPr>
          <w:rFonts w:hint="eastAsia" w:ascii="宋体" w:hAnsi="宋体" w:eastAsia="宋体" w:cs="宋体"/>
          <w:b w:val="0"/>
          <w:bCs w:val="0"/>
          <w:color w:val="000000"/>
          <w:kern w:val="2"/>
          <w:sz w:val="24"/>
          <w:szCs w:val="24"/>
          <w:highlight w:val="yellow"/>
          <w:lang w:val="en-US" w:eastAsia="zh-CN" w:bidi="ar-SA"/>
        </w:rPr>
        <w:instrText xml:space="preserve"> HYPERLINK "mailto:xuyanan@sinotruk.com" </w:instrText>
      </w:r>
      <w:r>
        <w:rPr>
          <w:rFonts w:hint="eastAsia" w:ascii="宋体" w:hAnsi="宋体" w:eastAsia="宋体" w:cs="宋体"/>
          <w:b w:val="0"/>
          <w:bCs w:val="0"/>
          <w:color w:val="000000"/>
          <w:kern w:val="2"/>
          <w:sz w:val="24"/>
          <w:szCs w:val="24"/>
          <w:highlight w:val="yellow"/>
          <w:lang w:val="en-US" w:eastAsia="zh-CN" w:bidi="ar-SA"/>
        </w:rPr>
        <w:fldChar w:fldCharType="separate"/>
      </w:r>
      <w:r>
        <w:rPr>
          <w:rFonts w:hint="eastAsia" w:ascii="宋体" w:hAnsi="宋体" w:eastAsia="宋体" w:cs="宋体"/>
          <w:b w:val="0"/>
          <w:bCs w:val="0"/>
          <w:color w:val="000000"/>
          <w:kern w:val="2"/>
          <w:sz w:val="24"/>
          <w:szCs w:val="24"/>
          <w:highlight w:val="yellow"/>
          <w:lang w:val="en-US" w:eastAsia="zh-CN" w:bidi="ar-SA"/>
        </w:rPr>
        <w:t>tangsf@sinotruk.com</w:t>
      </w:r>
      <w:r>
        <w:rPr>
          <w:rFonts w:hint="eastAsia" w:ascii="宋体" w:hAnsi="宋体" w:eastAsia="宋体" w:cs="宋体"/>
          <w:b w:val="0"/>
          <w:bCs w:val="0"/>
          <w:color w:val="000000"/>
          <w:kern w:val="2"/>
          <w:sz w:val="24"/>
          <w:szCs w:val="24"/>
          <w:highlight w:val="yellow"/>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 w:val="0"/>
          <w:bCs w:val="0"/>
          <w:color w:val="000000"/>
          <w:kern w:val="2"/>
          <w:sz w:val="24"/>
          <w:szCs w:val="24"/>
          <w:highlight w:val="yellow"/>
          <w:lang w:val="en-US" w:eastAsia="zh-CN" w:bidi="ar-SA"/>
        </w:rPr>
        <w:t>陈东旭</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 w:val="0"/>
          <w:bCs w:val="0"/>
          <w:color w:val="000000"/>
          <w:kern w:val="2"/>
          <w:sz w:val="24"/>
          <w:szCs w:val="24"/>
          <w:highlight w:val="yellow"/>
          <w:lang w:val="en-US" w:eastAsia="zh-CN" w:bidi="ar-SA"/>
        </w:rPr>
        <w:t>17860603378</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 w:val="0"/>
          <w:bCs w:val="0"/>
          <w:color w:val="000000"/>
          <w:kern w:val="2"/>
          <w:sz w:val="24"/>
          <w:szCs w:val="24"/>
          <w:highlight w:val="yellow"/>
          <w:lang w:val="en-US" w:eastAsia="zh-CN" w:bidi="ar-SA"/>
        </w:rPr>
        <w:t>chendongxu@sinotruk.com</w:t>
      </w:r>
    </w:p>
    <w:p>
      <w:pPr>
        <w:pStyle w:val="144"/>
      </w:pPr>
      <w:r>
        <w:rPr>
          <w:rFonts w:hint="eastAsia"/>
        </w:rPr>
        <w:t>合格的投标人。</w:t>
      </w:r>
      <w:bookmarkEnd w:id="21"/>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投标人须遵守《中华人民共和国招标投标法》及其它有关的法律和法规；为中华人民共和国境内注册的独立法人机构，具有独立承担民事责任能力；</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拟标投人必须是在中华人民共和国境内注册的独立法人机构，具有独立承担民事责任能力；注册资金不少于</w:t>
      </w:r>
      <w:r>
        <w:rPr>
          <w:rFonts w:hint="eastAsia"/>
          <w:b w:val="0"/>
          <w:bCs/>
          <w:sz w:val="21"/>
          <w:szCs w:val="21"/>
          <w:highlight w:val="none"/>
          <w:u w:val="single"/>
          <w:lang w:val="en-US" w:eastAsia="zh-CN"/>
        </w:rPr>
        <w:t xml:space="preserve"> 500</w:t>
      </w:r>
      <w:r>
        <w:rPr>
          <w:rFonts w:hint="eastAsia"/>
          <w:b w:val="0"/>
          <w:bCs/>
          <w:sz w:val="21"/>
          <w:szCs w:val="21"/>
          <w:highlight w:val="none"/>
          <w:lang w:val="en-US" w:eastAsia="zh-CN"/>
        </w:rPr>
        <w:t>万人民币（或等值其他货币）；公司成立</w:t>
      </w:r>
      <w:r>
        <w:rPr>
          <w:rFonts w:hint="eastAsia"/>
          <w:b w:val="0"/>
          <w:bCs/>
          <w:sz w:val="21"/>
          <w:szCs w:val="21"/>
          <w:highlight w:val="none"/>
          <w:u w:val="single"/>
          <w:lang w:val="en-US" w:eastAsia="zh-CN"/>
        </w:rPr>
        <w:t xml:space="preserve">  3  </w:t>
      </w:r>
      <w:r>
        <w:rPr>
          <w:rFonts w:hint="eastAsia"/>
          <w:b w:val="0"/>
          <w:bCs/>
          <w:sz w:val="21"/>
          <w:szCs w:val="21"/>
          <w:highlight w:val="none"/>
          <w:lang w:val="en-US" w:eastAsia="zh-CN"/>
        </w:rPr>
        <w:t>年以上（以营业执照成立日期到开标当日满 3 年为准），且经营范围满足招标人需求；并在人员、设备、资金等方面具有承担本项目的能力，且满足技术、质量、资金等要求；</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拟投标人在“国家企业信用信息公示系统”、“中国执行信息公开网”、“信用中国”、“天眼查”“裁判文书网”等信息平台中，无行政处罚及失信记录等信息；</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无招标违规、谎报年度报告信息、提供虚假资质资料等行为或其他行政处罚记录；</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近三年内在经营活动中无与本项目有关的违法及重大违规情况；</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投标人没有被列入招标人处《黑名单》（《黑名单》指投标人与招标人在以往或正在进行的合作中，存在招标人认为的违反合同约定或违反法律法规等的失信行为）的声明；</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公司经营范围满足招标项目需求；</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投标人须具有履行招标文件所有设备、专业技术等要求的能力；</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投标人须有依法缴纳税收和社会保障资金的良好记录；</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具有本次招标货物的供货、安装、售后服务等的相应资质；</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投标人须负责提供合理的便于运输的包装物，并承担相关费用；</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投标人须认可招标人的工作指令，包括节、假日能正常开展工作的要求。</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拟投标人的直接或间接股东、法定代表人、董事、监事、高管非重汽员工及其亲属；</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投标人必须是最终投标、签订合同的单位，不得以任何理由将已中标项目以任何形式转包或者分包给其他单位；</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本次招标项目不接受联合体投标，不允许代理商参标；</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法律、行政法规规定的其他条件；</w:t>
      </w:r>
    </w:p>
    <w:p>
      <w:pPr>
        <w:pStyle w:val="144"/>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pPr>
        <w:pStyle w:val="146"/>
        <w:numPr>
          <w:ilvl w:val="0"/>
          <w:numId w:val="11"/>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30</w:t>
      </w:r>
      <w:r>
        <w:rPr>
          <w:rFonts w:hint="eastAsia" w:ascii="宋体" w:hAnsi="Courier New" w:eastAsia="宋体" w:cs="Times New Roman"/>
          <w:sz w:val="21"/>
          <w:szCs w:val="21"/>
          <w:highlight w:val="yellow"/>
          <w:lang w:val="en-US" w:eastAsia="zh-CN"/>
        </w:rPr>
        <w:t>日</w:t>
      </w:r>
    </w:p>
    <w:p>
      <w:pPr>
        <w:pStyle w:val="146"/>
        <w:numPr>
          <w:ilvl w:val="0"/>
          <w:numId w:val="11"/>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pPr>
        <w:pStyle w:val="146"/>
        <w:ind w:firstLine="211" w:firstLineChars="100"/>
        <w:jc w:val="both"/>
        <w:rPr>
          <w:rFonts w:hint="default" w:eastAsia="宋体"/>
          <w:sz w:val="21"/>
          <w:szCs w:val="21"/>
          <w:highlight w:val="none"/>
          <w:lang w:val="en-US" w:eastAsia="zh-CN"/>
        </w:rPr>
      </w:pPr>
      <w:r>
        <w:rPr>
          <w:rFonts w:hint="eastAsia" w:ascii="宋体" w:hAnsi="Courier New" w:eastAsia="宋体" w:cs="Times New Roman"/>
          <w:b/>
          <w:bCs/>
          <w:sz w:val="21"/>
          <w:szCs w:val="21"/>
          <w:highlight w:val="none"/>
          <w:lang w:val="en-US" w:eastAsia="zh-CN"/>
        </w:rPr>
        <w:t>地点（线上）：</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pPr>
        <w:pStyle w:val="146"/>
        <w:ind w:firstLine="211" w:firstLineChars="100"/>
        <w:jc w:val="both"/>
        <w:rPr>
          <w:rFonts w:hint="default"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领取截止时间：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sz w:val="21"/>
          <w:szCs w:val="21"/>
          <w:highlight w:val="yellow"/>
        </w:rPr>
        <w:t>年</w:t>
      </w:r>
      <w:r>
        <w:rPr>
          <w:rFonts w:hint="eastAsia"/>
          <w:sz w:val="21"/>
          <w:szCs w:val="21"/>
          <w:highlight w:val="yellow"/>
          <w:lang w:val="en-US" w:eastAsia="zh-CN"/>
        </w:rPr>
        <w:t>4</w:t>
      </w:r>
      <w:r>
        <w:rPr>
          <w:rFonts w:hint="eastAsia"/>
          <w:sz w:val="21"/>
          <w:szCs w:val="21"/>
          <w:highlight w:val="yellow"/>
        </w:rPr>
        <w:t>月</w:t>
      </w:r>
      <w:r>
        <w:rPr>
          <w:rFonts w:hint="eastAsia"/>
          <w:sz w:val="21"/>
          <w:szCs w:val="21"/>
          <w:highlight w:val="yellow"/>
          <w:lang w:val="en-US" w:eastAsia="zh-CN"/>
        </w:rPr>
        <w:t>10</w:t>
      </w:r>
      <w:r>
        <w:rPr>
          <w:rFonts w:hint="eastAsia"/>
          <w:sz w:val="21"/>
          <w:szCs w:val="21"/>
          <w:highlight w:val="yellow"/>
        </w:rPr>
        <w:t>日</w:t>
      </w:r>
    </w:p>
    <w:p>
      <w:pPr>
        <w:pStyle w:val="146"/>
        <w:numPr>
          <w:ilvl w:val="0"/>
          <w:numId w:val="11"/>
        </w:numPr>
        <w:ind w:left="425" w:leftChars="0" w:hanging="425" w:firstLineChars="0"/>
        <w:jc w:val="both"/>
        <w:rPr>
          <w:rFonts w:hint="eastAsia" w:ascii="宋体" w:hAnsi="Courier New" w:eastAsia="宋体" w:cs="Times New Roman"/>
          <w:b w:val="0"/>
          <w:bCs w:val="0"/>
          <w:sz w:val="21"/>
          <w:szCs w:val="21"/>
          <w:highlight w:val="yellow"/>
          <w:lang w:val="en-US" w:eastAsia="zh-CN"/>
        </w:rPr>
      </w:pPr>
      <w:r>
        <w:rPr>
          <w:rFonts w:hint="eastAsia" w:ascii="宋体" w:hAnsi="Courier New" w:eastAsia="宋体" w:cs="Times New Roman"/>
          <w:b/>
          <w:bCs/>
          <w:sz w:val="21"/>
          <w:szCs w:val="21"/>
          <w:highlight w:val="yellow"/>
          <w:lang w:val="en-US" w:eastAsia="zh-CN"/>
        </w:rPr>
        <w:t>答疑时间：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4</w:t>
      </w:r>
      <w:r>
        <w:rPr>
          <w:rFonts w:hint="eastAsia" w:ascii="宋体" w:hAnsi="Courier New" w:eastAsia="宋体" w:cs="Times New Roman"/>
          <w:sz w:val="21"/>
          <w:szCs w:val="21"/>
          <w:highlight w:val="yellow"/>
          <w:lang w:val="en-US" w:eastAsia="zh-CN"/>
        </w:rPr>
        <w:t>月</w:t>
      </w:r>
      <w:r>
        <w:rPr>
          <w:rFonts w:hint="eastAsia" w:eastAsia="宋体" w:cs="Times New Roman"/>
          <w:sz w:val="21"/>
          <w:szCs w:val="21"/>
          <w:highlight w:val="yellow"/>
          <w:lang w:val="en-US" w:eastAsia="zh-CN"/>
        </w:rPr>
        <w:t>16</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w:t>
      </w:r>
      <w:r>
        <w:rPr>
          <w:rFonts w:hint="eastAsia" w:cs="Times New Roman"/>
          <w:b w:val="0"/>
          <w:bCs w:val="0"/>
          <w:sz w:val="21"/>
          <w:szCs w:val="21"/>
          <w:highlight w:val="yellow"/>
          <w:lang w:val="en-US" w:eastAsia="zh-CN"/>
        </w:rPr>
        <w:t>:00前</w:t>
      </w:r>
    </w:p>
    <w:p>
      <w:pPr>
        <w:pStyle w:val="146"/>
        <w:numPr>
          <w:ilvl w:val="0"/>
          <w:numId w:val="11"/>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提交疑问方式：</w:t>
      </w:r>
    </w:p>
    <w:p>
      <w:pPr>
        <w:pStyle w:val="14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pPr>
        <w:pStyle w:val="14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eastAsia="宋体" w:cs="Times New Roman"/>
          <w:sz w:val="21"/>
          <w:szCs w:val="21"/>
          <w:highlight w:val="yellow"/>
          <w:lang w:val="en-US" w:eastAsia="zh-CN"/>
        </w:rPr>
        <w:t>4</w:t>
      </w:r>
      <w:r>
        <w:rPr>
          <w:rFonts w:hint="eastAsia" w:ascii="宋体" w:eastAsia="宋体" w:cs="Times New Roman"/>
          <w:sz w:val="21"/>
          <w:szCs w:val="21"/>
          <w:highlight w:val="yellow"/>
        </w:rPr>
        <w:t>月</w:t>
      </w:r>
      <w:r>
        <w:rPr>
          <w:rFonts w:hint="eastAsia" w:eastAsia="宋体" w:cs="Times New Roman"/>
          <w:sz w:val="21"/>
          <w:szCs w:val="21"/>
          <w:highlight w:val="yellow"/>
          <w:lang w:val="en-US" w:eastAsia="zh-CN"/>
        </w:rPr>
        <w:t>16</w:t>
      </w:r>
      <w:r>
        <w:rPr>
          <w:rFonts w:hint="eastAsia" w:ascii="宋体" w:eastAsia="宋体" w:cs="Times New Roman"/>
          <w:sz w:val="21"/>
          <w:szCs w:val="21"/>
          <w:highlight w:val="yellow"/>
        </w:rPr>
        <w:t>日12:00前</w:t>
      </w:r>
    </w:p>
    <w:p>
      <w:pPr>
        <w:pStyle w:val="14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pPr>
        <w:pStyle w:val="14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pPr>
        <w:pStyle w:val="146"/>
        <w:numPr>
          <w:ilvl w:val="0"/>
          <w:numId w:val="11"/>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4</w:t>
      </w:r>
      <w:r>
        <w:rPr>
          <w:rFonts w:hint="eastAsia" w:ascii="宋体" w:hAnsi="Courier New" w:eastAsia="宋体" w:cs="Times New Roman"/>
          <w:sz w:val="21"/>
          <w:szCs w:val="21"/>
          <w:highlight w:val="yellow"/>
          <w:lang w:val="en-US" w:eastAsia="zh-CN"/>
        </w:rPr>
        <w:t>月</w:t>
      </w:r>
      <w:r>
        <w:rPr>
          <w:rFonts w:hint="eastAsia" w:eastAsia="宋体" w:cs="Times New Roman"/>
          <w:sz w:val="21"/>
          <w:szCs w:val="21"/>
          <w:highlight w:val="yellow"/>
          <w:lang w:val="en-US" w:eastAsia="zh-CN"/>
        </w:rPr>
        <w:t>16</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pPr>
        <w:pStyle w:val="146"/>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pPr>
        <w:pStyle w:val="146"/>
        <w:numPr>
          <w:ilvl w:val="0"/>
          <w:numId w:val="11"/>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pPr>
        <w:pStyle w:val="1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w:t>
      </w:r>
      <w:r>
        <w:rPr>
          <w:rFonts w:hint="eastAsia" w:eastAsia="宋体" w:cs="宋体"/>
          <w:b/>
          <w:bCs/>
          <w:sz w:val="21"/>
          <w:szCs w:val="21"/>
          <w:lang w:val="en-US" w:eastAsia="zh-CN"/>
        </w:rPr>
        <w:t>16</w:t>
      </w:r>
      <w:r>
        <w:rPr>
          <w:rFonts w:hint="eastAsia" w:ascii="宋体" w:hAnsi="宋体" w:eastAsia="宋体" w:cs="宋体"/>
          <w:b/>
          <w:bCs/>
          <w:sz w:val="21"/>
          <w:szCs w:val="21"/>
        </w:rPr>
        <w:t>）进行注册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w:t>
      </w:r>
      <w:r>
        <w:rPr>
          <w:rFonts w:hint="eastAsia" w:eastAsia="宋体" w:cs="宋体"/>
          <w:b/>
          <w:sz w:val="21"/>
          <w:szCs w:val="21"/>
          <w:lang w:val="en-US" w:eastAsia="zh-CN"/>
        </w:rPr>
        <w:t>7</w:t>
      </w:r>
      <w:r>
        <w:rPr>
          <w:rFonts w:hint="eastAsia" w:ascii="宋体" w:hAnsi="宋体" w:eastAsia="宋体" w:cs="宋体"/>
          <w:b/>
          <w:sz w:val="21"/>
          <w:szCs w:val="21"/>
        </w:rPr>
        <w:t>）”，</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pPr>
        <w:pStyle w:val="117"/>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pPr>
        <w:pStyle w:val="117"/>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pPr>
        <w:pStyle w:val="14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pPr>
        <w:pStyle w:val="146"/>
        <w:numPr>
          <w:ilvl w:val="0"/>
          <w:numId w:val="11"/>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pPr>
        <w:pStyle w:val="117"/>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w:t>
      </w:r>
      <w:r>
        <w:rPr>
          <w:rFonts w:hint="eastAsia" w:eastAsia="宋体" w:cs="宋体"/>
          <w:bCs/>
          <w:sz w:val="21"/>
          <w:szCs w:val="21"/>
          <w:highlight w:val="yellow"/>
          <w:lang w:val="en-US" w:eastAsia="zh-CN"/>
        </w:rPr>
        <w:t>6</w:t>
      </w:r>
      <w:r>
        <w:rPr>
          <w:rFonts w:hint="eastAsia" w:ascii="宋体" w:hAnsi="宋体" w:eastAsia="宋体" w:cs="宋体"/>
          <w:bCs/>
          <w:sz w:val="21"/>
          <w:szCs w:val="21"/>
          <w:highlight w:val="yellow"/>
        </w:rPr>
        <w:t>年</w:t>
      </w:r>
      <w:r>
        <w:rPr>
          <w:rFonts w:hint="eastAsia" w:eastAsia="宋体" w:cs="宋体"/>
          <w:bCs/>
          <w:sz w:val="21"/>
          <w:szCs w:val="21"/>
          <w:highlight w:val="yellow"/>
          <w:lang w:val="en-US" w:eastAsia="zh-CN"/>
        </w:rPr>
        <w:t>4</w:t>
      </w:r>
      <w:r>
        <w:rPr>
          <w:rFonts w:hint="eastAsia" w:ascii="宋体" w:hAnsi="宋体" w:eastAsia="宋体" w:cs="宋体"/>
          <w:bCs/>
          <w:sz w:val="21"/>
          <w:szCs w:val="21"/>
          <w:highlight w:val="yellow"/>
        </w:rPr>
        <w:t>月</w:t>
      </w:r>
      <w:r>
        <w:rPr>
          <w:rFonts w:hint="eastAsia" w:eastAsia="宋体" w:cs="宋体"/>
          <w:bCs/>
          <w:sz w:val="21"/>
          <w:szCs w:val="21"/>
          <w:highlight w:val="yellow"/>
          <w:lang w:val="en-US" w:eastAsia="zh-CN"/>
        </w:rPr>
        <w:t>10</w:t>
      </w:r>
      <w:r>
        <w:rPr>
          <w:rFonts w:hint="eastAsia" w:ascii="宋体" w:hAnsi="宋体" w:eastAsia="宋体" w:cs="宋体"/>
          <w:bCs/>
          <w:sz w:val="21"/>
          <w:szCs w:val="21"/>
          <w:highlight w:val="yellow"/>
        </w:rPr>
        <w:t>日</w:t>
      </w:r>
      <w:r>
        <w:rPr>
          <w:rFonts w:hint="eastAsia" w:eastAsia="宋体" w:cs="宋体"/>
          <w:sz w:val="21"/>
          <w:szCs w:val="21"/>
          <w:highlight w:val="yellow"/>
          <w:shd w:val="clear"/>
        </w:rPr>
        <w:t>17时00分00秒</w:t>
      </w:r>
    </w:p>
    <w:p>
      <w:pPr>
        <w:pStyle w:val="14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pPr>
        <w:pStyle w:val="144"/>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145"/>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pPr>
        <w:pStyle w:val="14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法定代表人身份证明；</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法定代表人授权委托书（授权人需带身份证原件）；</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营业执照副本原件</w:t>
      </w:r>
      <w:r>
        <w:rPr>
          <w:rFonts w:hint="eastAsia" w:ascii="宋体" w:hAnsi="宋体" w:eastAsia="宋体" w:cs="宋体"/>
          <w:b w:val="0"/>
          <w:bCs/>
          <w:highlight w:val="none"/>
          <w:lang w:val="en-US" w:eastAsia="zh-CN"/>
        </w:rPr>
        <w:t>或复印件并加盖公章</w:t>
      </w:r>
      <w:r>
        <w:rPr>
          <w:rFonts w:hint="eastAsia" w:ascii="宋体" w:hAnsi="宋体" w:eastAsia="宋体" w:cs="宋体"/>
          <w:b w:val="0"/>
          <w:bCs/>
          <w:highlight w:val="none"/>
        </w:rPr>
        <w:t>；</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投标函（附件1）；</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企业近三年同类项目业绩证明，须提供用户清单、采购合同复印件；</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近三年内在经营活动中无与本项目有关的违法及重大违规行为的声明；</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投标人在国家企业信用信息公示系统中无与本项目有关的行政处罚、经营异常和失信信息的声明；（附投标当日系统内相关截图或报告）</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企业信用证明材料（征信中心出具的信用报告）；</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企业最近半年完税证明</w:t>
      </w:r>
      <w:r>
        <w:rPr>
          <w:rFonts w:hint="eastAsia" w:ascii="宋体" w:hAnsi="宋体" w:eastAsia="宋体" w:cs="宋体"/>
          <w:b w:val="0"/>
          <w:bCs/>
          <w:highlight w:val="none"/>
          <w:lang w:eastAsia="zh-CN"/>
        </w:rPr>
        <w:t>，</w:t>
      </w:r>
      <w:r>
        <w:rPr>
          <w:rFonts w:hint="eastAsia" w:ascii="宋体" w:hAnsi="宋体" w:eastAsia="宋体" w:cs="宋体"/>
          <w:b w:val="0"/>
          <w:bCs/>
          <w:highlight w:val="none"/>
          <w:lang w:val="en-US" w:eastAsia="zh-CN"/>
        </w:rPr>
        <w:t>并附</w:t>
      </w:r>
      <w:r>
        <w:rPr>
          <w:rFonts w:hint="eastAsia" w:ascii="宋体" w:hAnsi="宋体" w:eastAsia="宋体" w:cs="宋体"/>
          <w:b w:val="0"/>
          <w:bCs/>
          <w:highlight w:val="none"/>
        </w:rPr>
        <w:t>年度纳税信用评价信息（可从电子税务局查询截图，需加盖公章）；</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企业对外担保说明（写明贵单位对外有无对外担保和质押业务，需加盖公章）。</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保密承诺函（附件4）；</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投标保证金缴纳凭证，同时正文描述付款账号、户名、开户行名称、开户行行号、保证金金额。</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pPr>
        <w:pStyle w:val="148"/>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pPr>
        <w:pStyle w:val="148"/>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pPr>
        <w:pStyle w:val="148"/>
        <w:numPr>
          <w:ilvl w:val="0"/>
          <w:numId w:val="17"/>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pPr>
        <w:pStyle w:val="148"/>
        <w:numPr>
          <w:ilvl w:val="0"/>
          <w:numId w:val="17"/>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商务报价注意内容：</w:t>
      </w:r>
      <w:r>
        <w:rPr>
          <w:rFonts w:hint="eastAsia" w:ascii="宋体" w:hAnsi="宋体" w:eastAsia="宋体" w:cs="宋体"/>
          <w:b w:val="0"/>
          <w:bCs/>
          <w:highlight w:val="none"/>
        </w:rPr>
        <w:t>最高投标限价（招标控制价）：</w:t>
      </w:r>
      <w:r>
        <w:rPr>
          <w:rFonts w:hint="eastAsia" w:ascii="宋体" w:hAnsi="宋体" w:eastAsia="宋体" w:cs="宋体"/>
          <w:b w:val="0"/>
          <w:bCs/>
          <w:highlight w:val="yellow"/>
        </w:rPr>
        <w:t>人民币</w:t>
      </w:r>
      <w:r>
        <w:rPr>
          <w:rFonts w:hint="eastAsia" w:ascii="宋体" w:hAnsi="宋体" w:eastAsia="宋体" w:cs="宋体"/>
          <w:b w:val="0"/>
          <w:bCs/>
          <w:highlight w:val="yellow"/>
          <w:u w:val="single"/>
          <w:lang w:val="en-US" w:eastAsia="zh-CN"/>
        </w:rPr>
        <w:t xml:space="preserve"> </w:t>
      </w:r>
      <w:r>
        <w:rPr>
          <w:rFonts w:hint="eastAsia" w:ascii="宋体" w:hAnsi="宋体" w:eastAsia="宋体" w:cs="宋体"/>
          <w:b w:val="0"/>
          <w:bCs/>
          <w:color w:val="FF0000"/>
          <w:highlight w:val="yellow"/>
          <w:u w:val="single"/>
          <w:lang w:val="en-US" w:eastAsia="zh-CN"/>
        </w:rPr>
        <w:t xml:space="preserve"> </w:t>
      </w:r>
      <w:r>
        <w:rPr>
          <w:rFonts w:hint="eastAsia" w:hAnsi="宋体" w:eastAsia="宋体" w:cs="宋体"/>
          <w:b w:val="0"/>
          <w:bCs/>
          <w:color w:val="FF0000"/>
          <w:highlight w:val="yellow"/>
          <w:u w:val="single"/>
          <w:lang w:val="en-US" w:eastAsia="zh-CN"/>
        </w:rPr>
        <w:t>24</w:t>
      </w:r>
      <w:r>
        <w:rPr>
          <w:rFonts w:hint="eastAsia" w:ascii="宋体" w:hAnsi="宋体" w:eastAsia="宋体" w:cs="宋体"/>
          <w:b w:val="0"/>
          <w:bCs/>
          <w:highlight w:val="yellow"/>
          <w:u w:val="single"/>
          <w:lang w:val="en-US" w:eastAsia="zh-CN"/>
        </w:rPr>
        <w:t xml:space="preserve">  </w:t>
      </w:r>
      <w:r>
        <w:rPr>
          <w:rFonts w:hint="eastAsia" w:ascii="宋体" w:hAnsi="宋体" w:eastAsia="宋体" w:cs="宋体"/>
          <w:b w:val="0"/>
          <w:bCs/>
          <w:highlight w:val="yellow"/>
        </w:rPr>
        <w:t>万元（含</w:t>
      </w:r>
      <w:r>
        <w:rPr>
          <w:rFonts w:hint="eastAsia" w:ascii="宋体" w:hAnsi="宋体" w:eastAsia="宋体" w:cs="宋体"/>
          <w:b w:val="0"/>
          <w:bCs/>
          <w:highlight w:val="yellow"/>
          <w:u w:val="single"/>
          <w:lang w:val="en-US" w:eastAsia="zh-CN"/>
        </w:rPr>
        <w:t>13</w:t>
      </w:r>
      <w:r>
        <w:rPr>
          <w:rFonts w:hint="eastAsia" w:ascii="宋体" w:hAnsi="宋体" w:eastAsia="宋体" w:cs="宋体"/>
          <w:b w:val="0"/>
          <w:bCs/>
          <w:highlight w:val="yellow"/>
        </w:rPr>
        <w:t>%增值税）</w:t>
      </w:r>
      <w:r>
        <w:rPr>
          <w:rFonts w:hint="eastAsia" w:ascii="宋体" w:hAnsi="宋体" w:eastAsia="宋体" w:cs="宋体"/>
          <w:b w:val="0"/>
          <w:bCs/>
          <w:highlight w:val="none"/>
        </w:rPr>
        <w:t>，超过投标限价无法投标。</w:t>
      </w:r>
    </w:p>
    <w:p>
      <w:pPr>
        <w:pStyle w:val="145"/>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pPr>
        <w:pStyle w:val="148"/>
        <w:numPr>
          <w:ilvl w:val="0"/>
          <w:numId w:val="18"/>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pPr>
        <w:pStyle w:val="1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pPr>
        <w:pStyle w:val="148"/>
        <w:numPr>
          <w:ilvl w:val="0"/>
          <w:numId w:val="18"/>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w:t>
      </w:r>
      <w:r>
        <w:rPr>
          <w:rFonts w:hint="eastAsia" w:eastAsia="宋体" w:cs="Times New Roman"/>
          <w:b w:val="0"/>
          <w:bCs/>
          <w:highlight w:val="none"/>
          <w:lang w:val="en-US" w:eastAsia="zh-CN"/>
        </w:rPr>
        <w:t>济南轻卡制造公司</w:t>
      </w:r>
    </w:p>
    <w:p>
      <w:pPr>
        <w:pStyle w:val="148"/>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hAnsi="宋体" w:eastAsia="宋体" w:cs="宋体"/>
          <w:b w:val="0"/>
          <w:bCs w:val="0"/>
          <w:color w:val="000000"/>
          <w:sz w:val="21"/>
          <w:szCs w:val="21"/>
          <w:highlight w:val="yellow"/>
          <w:lang w:val="en-US" w:eastAsia="zh-CN"/>
        </w:rPr>
        <w:t>唐绍丰</w:t>
      </w:r>
      <w:r>
        <w:rPr>
          <w:rFonts w:hint="eastAsia" w:ascii="宋体" w:hAnsi="宋体" w:eastAsia="宋体" w:cs="宋体"/>
          <w:b w:val="0"/>
          <w:bCs w:val="0"/>
          <w:color w:val="000000"/>
          <w:sz w:val="21"/>
          <w:szCs w:val="21"/>
          <w:highlight w:val="yellow"/>
          <w:lang w:val="en-US" w:eastAsia="zh-CN"/>
        </w:rPr>
        <w:t>/</w:t>
      </w:r>
      <w:r>
        <w:rPr>
          <w:rFonts w:hint="eastAsia" w:hAnsi="宋体" w:eastAsia="宋体" w:cs="宋体"/>
          <w:b w:val="0"/>
          <w:bCs w:val="0"/>
          <w:color w:val="000000"/>
          <w:sz w:val="21"/>
          <w:szCs w:val="21"/>
          <w:highlight w:val="yellow"/>
          <w:lang w:val="en-US" w:eastAsia="zh-CN"/>
        </w:rPr>
        <w:t>18764126812</w:t>
      </w:r>
    </w:p>
    <w:p>
      <w:pPr>
        <w:pStyle w:val="148"/>
        <w:numPr>
          <w:ilvl w:val="0"/>
          <w:numId w:val="18"/>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eastAsia="宋体" w:cs="Times New Roman"/>
          <w:b w:val="0"/>
          <w:bCs/>
          <w:highlight w:val="yellow"/>
          <w:lang w:val="en-US" w:eastAsia="zh-CN"/>
        </w:rPr>
        <w:t>4</w:t>
      </w:r>
      <w:r>
        <w:rPr>
          <w:rFonts w:hint="eastAsia" w:ascii="宋体" w:hAnsi="Courier New" w:eastAsia="宋体" w:cs="Times New Roman"/>
          <w:b w:val="0"/>
          <w:bCs/>
          <w:highlight w:val="yellow"/>
          <w:lang w:val="en-US" w:eastAsia="zh-CN"/>
        </w:rPr>
        <w:t>月</w:t>
      </w:r>
      <w:r>
        <w:rPr>
          <w:rFonts w:hint="eastAsia" w:eastAsia="宋体" w:cs="Times New Roman"/>
          <w:b w:val="0"/>
          <w:bCs/>
          <w:highlight w:val="yellow"/>
          <w:lang w:val="en-US" w:eastAsia="zh-CN"/>
        </w:rPr>
        <w:t>20</w:t>
      </w:r>
      <w:r>
        <w:rPr>
          <w:rFonts w:hint="eastAsia" w:ascii="宋体" w:hAnsi="Courier New" w:eastAsia="宋体" w:cs="Times New Roman"/>
          <w:b w:val="0"/>
          <w:bCs/>
          <w:highlight w:val="yellow"/>
          <w:lang w:val="en-US" w:eastAsia="zh-CN"/>
        </w:rPr>
        <w:t>日上午9:00:00</w:t>
      </w:r>
    </w:p>
    <w:p>
      <w:pPr>
        <w:pStyle w:val="148"/>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pPr>
        <w:pStyle w:val="148"/>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pPr>
        <w:pStyle w:val="148"/>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pPr>
        <w:pStyle w:val="148"/>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pPr>
        <w:pStyle w:val="144"/>
        <w:rPr>
          <w:rFonts w:hint="eastAsia" w:hAnsi="Courier New" w:cs="Times New Roman"/>
          <w:highlight w:val="none"/>
        </w:rPr>
      </w:pPr>
      <w:bookmarkStart w:id="22"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144"/>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pPr>
        <w:pStyle w:val="144"/>
        <w:numPr>
          <w:ilvl w:val="0"/>
          <w:numId w:val="20"/>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pPr>
        <w:pStyle w:val="144"/>
        <w:numPr>
          <w:ilvl w:val="0"/>
          <w:numId w:val="20"/>
        </w:numPr>
        <w:ind w:left="425" w:leftChars="0" w:hanging="425" w:firstLineChars="0"/>
        <w:rPr>
          <w:rFonts w:hint="default"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投标保证金的金额：</w:t>
      </w:r>
      <w:r>
        <w:rPr>
          <w:rFonts w:hint="eastAsia" w:ascii="宋体" w:hAnsi="宋体" w:eastAsia="宋体" w:cs="宋体"/>
          <w:b/>
          <w:bCs/>
          <w:sz w:val="21"/>
          <w:szCs w:val="21"/>
          <w:highlight w:val="yellow"/>
        </w:rPr>
        <w:t>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yellow"/>
        </w:rPr>
        <w:t>元</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pPr>
        <w:pStyle w:val="144"/>
        <w:numPr>
          <w:ilvl w:val="0"/>
          <w:numId w:val="2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yellow"/>
        </w:rPr>
        <w:t>保证金缴纳截止时间：202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10</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同应标截止时间</w:t>
      </w:r>
      <w:r>
        <w:rPr>
          <w:rFonts w:hint="eastAsia" w:ascii="宋体" w:hAnsi="宋体" w:eastAsia="宋体" w:cs="宋体"/>
          <w:b w:val="0"/>
          <w:bCs w:val="0"/>
          <w:sz w:val="21"/>
          <w:szCs w:val="21"/>
          <w:highlight w:val="yellow"/>
          <w:lang w:eastAsia="zh-CN"/>
        </w:rPr>
        <w:t>）</w:t>
      </w:r>
    </w:p>
    <w:p>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22"/>
    <w:p>
      <w:pPr>
        <w:pStyle w:val="144"/>
      </w:pPr>
      <w:r>
        <w:rPr>
          <w:rFonts w:hint="eastAsia"/>
          <w:lang w:val="en-US" w:eastAsia="zh-CN"/>
        </w:rPr>
        <w:t>开评标</w:t>
      </w:r>
    </w:p>
    <w:p>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开标时间：2026年4月20日9:00:00（暂定，以实际通知为准）</w:t>
      </w:r>
    </w:p>
    <w:p>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pPr>
        <w:pStyle w:val="144"/>
        <w:keepNext w:val="0"/>
        <w:keepLines w:val="0"/>
        <w:pageBreakBefore w:val="0"/>
        <w:widowControl w:val="0"/>
        <w:numPr>
          <w:ilvl w:val="0"/>
          <w:numId w:val="22"/>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23" w:name="OLE_LINK2"/>
      <w:r>
        <w:rPr>
          <w:rFonts w:hint="eastAsia" w:ascii="宋体" w:hAnsi="宋体" w:eastAsia="宋体" w:cs="宋体"/>
          <w:b/>
          <w:bCs/>
          <w:sz w:val="21"/>
          <w:szCs w:val="21"/>
        </w:rPr>
        <w:t>→</w:t>
      </w:r>
      <w:bookmarkEnd w:id="23"/>
      <w:r>
        <w:rPr>
          <w:rFonts w:hint="eastAsia" w:ascii="宋体" w:hAnsi="宋体" w:eastAsia="宋体" w:cs="宋体"/>
          <w:b/>
          <w:bCs/>
          <w:sz w:val="21"/>
          <w:szCs w:val="21"/>
        </w:rPr>
        <w:t>唱标→技术标评审→商务标评审。</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pPr>
        <w:pStyle w:val="14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pPr>
        <w:pStyle w:val="14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6"/>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pPr>
              <w:rPr>
                <w:rFonts w:hint="eastAsia" w:ascii="宋体" w:hAnsi="宋体"/>
              </w:rPr>
            </w:pPr>
            <w:r>
              <w:rPr>
                <w:rFonts w:hint="eastAsia" w:ascii="宋体" w:hAnsi="宋体"/>
              </w:rPr>
              <w:t>3、评委打分超过得分界限或未按本方法赋分时，该评委的打分按废票处理。</w:t>
            </w:r>
          </w:p>
          <w:p>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pStyle w:val="144"/>
      </w:pPr>
      <w:r>
        <w:rPr>
          <w:rFonts w:hint="eastAsia"/>
          <w:lang w:val="en-US" w:eastAsia="zh-CN"/>
        </w:rPr>
        <w:t>定标</w:t>
      </w:r>
    </w:p>
    <w:p>
      <w:pPr>
        <w:pStyle w:val="14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144"/>
      </w:pPr>
      <w:r>
        <w:rPr>
          <w:rFonts w:hint="eastAsia"/>
          <w:lang w:val="en-US" w:eastAsia="zh-CN"/>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24" w:name="OLE_LINK25"/>
      <w:bookmarkStart w:id="25" w:name="OLE_LINK29"/>
      <w:bookmarkStart w:id="26" w:name="OLE_LINK28"/>
      <w:bookmarkStart w:id="27" w:name="OLE_LINK27"/>
      <w:bookmarkStart w:id="28" w:name="OLE_LINK26"/>
      <w:r>
        <w:rPr>
          <w:rFonts w:hint="eastAsia" w:ascii="宋体" w:hAnsi="宋体" w:eastAsia="宋体" w:cs="宋体"/>
          <w:bCs/>
          <w:sz w:val="21"/>
          <w:szCs w:val="21"/>
          <w:highlight w:val="none"/>
        </w:rPr>
        <w:t>；</w:t>
      </w:r>
      <w:bookmarkEnd w:id="24"/>
      <w:bookmarkEnd w:id="25"/>
      <w:bookmarkEnd w:id="26"/>
      <w:bookmarkEnd w:id="27"/>
      <w:bookmarkEnd w:id="28"/>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144"/>
      </w:pPr>
      <w:r>
        <w:rPr>
          <w:rFonts w:hint="eastAsia"/>
          <w:lang w:val="en-US" w:eastAsia="zh-CN"/>
        </w:rPr>
        <w:t>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pPr>
        <w:pStyle w:val="144"/>
      </w:pPr>
      <w:r>
        <w:rPr>
          <w:rFonts w:hint="eastAsia"/>
          <w:lang w:val="en-US" w:eastAsia="zh-CN"/>
        </w:rPr>
        <w:t>交货及付款</w:t>
      </w:r>
    </w:p>
    <w:p>
      <w:pPr>
        <w:pStyle w:val="144"/>
        <w:numPr>
          <w:ilvl w:val="0"/>
          <w:numId w:val="25"/>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hAnsi="宋体" w:eastAsia="宋体" w:cs="宋体"/>
          <w:b w:val="0"/>
          <w:bCs w:val="0"/>
          <w:color w:val="000000"/>
          <w:sz w:val="21"/>
          <w:szCs w:val="21"/>
          <w:highlight w:val="none"/>
          <w:lang w:val="en-US" w:eastAsia="zh-CN"/>
        </w:rPr>
      </w:pPr>
      <w:r>
        <w:rPr>
          <w:rFonts w:hint="eastAsia" w:hAnsi="宋体" w:eastAsia="宋体" w:cs="宋体"/>
          <w:b w:val="0"/>
          <w:bCs w:val="0"/>
          <w:color w:val="000000"/>
          <w:sz w:val="21"/>
          <w:szCs w:val="21"/>
          <w:highlight w:val="none"/>
          <w:lang w:val="en-US" w:eastAsia="zh-CN"/>
        </w:rPr>
        <w:t>详见技术标书。</w:t>
      </w:r>
    </w:p>
    <w:p>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pPr>
        <w:pStyle w:val="144"/>
        <w:numPr>
          <w:ilvl w:val="0"/>
          <w:numId w:val="25"/>
        </w:numPr>
        <w:ind w:left="425" w:leftChars="0" w:hanging="425" w:firstLineChars="0"/>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bCs/>
          <w:sz w:val="21"/>
          <w:szCs w:val="21"/>
          <w:highlight w:val="yellow"/>
          <w:lang w:val="en-US" w:eastAsia="zh-CN"/>
        </w:rPr>
        <w:t>招标方指定地点</w:t>
      </w:r>
    </w:p>
    <w:p>
      <w:pPr>
        <w:pStyle w:val="144"/>
        <w:numPr>
          <w:ilvl w:val="0"/>
          <w:numId w:val="25"/>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pPr>
        <w:pStyle w:val="144"/>
        <w:numPr>
          <w:ilvl w:val="0"/>
          <w:numId w:val="25"/>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pPr>
        <w:pStyle w:val="144"/>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付款节点：3:6:1</w:t>
      </w:r>
    </w:p>
    <w:p>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pPr>
        <w:pStyle w:val="144"/>
        <w:rPr>
          <w:rFonts w:hint="eastAsia"/>
          <w:lang w:val="en-US" w:eastAsia="zh-CN"/>
        </w:rPr>
      </w:pPr>
      <w:r>
        <w:rPr>
          <w:rFonts w:hint="eastAsia"/>
          <w:lang w:val="en-US" w:eastAsia="zh-CN"/>
        </w:rPr>
        <w:t>质保期</w:t>
      </w:r>
    </w:p>
    <w:p>
      <w:pPr>
        <w:pStyle w:val="14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自设备验收文件最终签署之日起壹年。（投标人可在满足上述最短质保期基础上竞报）</w:t>
      </w:r>
    </w:p>
    <w:p>
      <w:pPr>
        <w:pStyle w:val="144"/>
        <w:rPr>
          <w:rFonts w:hint="eastAsia"/>
          <w:lang w:val="en-US" w:eastAsia="zh-CN"/>
        </w:rPr>
      </w:pPr>
      <w:r>
        <w:rPr>
          <w:rFonts w:hint="eastAsia"/>
          <w:lang w:val="en-US" w:eastAsia="zh-CN"/>
        </w:rPr>
        <w:t>本次招标最终解释权归中国重汽集团济南商用车有限公司。</w:t>
      </w:r>
    </w:p>
    <w:p>
      <w:pPr>
        <w:pStyle w:val="146"/>
      </w:pPr>
    </w:p>
    <w:p>
      <w:pPr>
        <w:pStyle w:val="143"/>
        <w:jc w:val="both"/>
        <w:rPr>
          <w:rFonts w:hint="eastAsia"/>
        </w:rPr>
      </w:pPr>
    </w:p>
    <w:p>
      <w:pPr>
        <w:pStyle w:val="143"/>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pPr>
        <w:keepNext/>
        <w:keepLines/>
        <w:jc w:val="center"/>
        <w:outlineLvl w:val="0"/>
        <w:rPr>
          <w:rFonts w:ascii="Calibri" w:hAnsi="Calibri" w:eastAsia="宋体" w:cs="Times New Roman"/>
          <w:b/>
          <w:bCs/>
          <w:kern w:val="44"/>
          <w:sz w:val="36"/>
          <w:szCs w:val="44"/>
          <w:highlight w:val="none"/>
        </w:rPr>
      </w:pPr>
      <w:bookmarkStart w:id="29" w:name="_Toc17894"/>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二</w:t>
      </w:r>
      <w:r>
        <w:rPr>
          <w:rFonts w:hint="eastAsia" w:ascii="Calibri" w:hAnsi="Calibri" w:eastAsia="宋体" w:cs="Times New Roman"/>
          <w:b/>
          <w:bCs/>
          <w:kern w:val="44"/>
          <w:sz w:val="36"/>
          <w:szCs w:val="44"/>
          <w:highlight w:val="none"/>
        </w:rPr>
        <w:t>部分 技术标书</w:t>
      </w:r>
    </w:p>
    <w:p>
      <w:pPr>
        <w:pStyle w:val="16"/>
        <w:rPr>
          <w:highlight w:val="none"/>
        </w:rPr>
      </w:pPr>
    </w:p>
    <w:p>
      <w:pPr>
        <w:spacing w:line="276" w:lineRule="auto"/>
        <w:jc w:val="center"/>
        <w:rPr>
          <w:rFonts w:hint="eastAsia" w:ascii="Calibri" w:hAnsi="宋体" w:eastAsia="宋体" w:cs="Times New Roman"/>
          <w:b/>
          <w:bCs/>
          <w:color w:val="000000"/>
          <w:spacing w:val="-8"/>
          <w:sz w:val="48"/>
          <w:szCs w:val="48"/>
          <w:highlight w:val="none"/>
        </w:rPr>
      </w:pPr>
      <w:r>
        <w:rPr>
          <w:rFonts w:hint="eastAsia" w:ascii="Calibri" w:hAnsi="宋体" w:eastAsia="宋体" w:cs="Times New Roman"/>
          <w:b/>
          <w:bCs/>
          <w:color w:val="000000"/>
          <w:spacing w:val="-8"/>
          <w:sz w:val="48"/>
          <w:szCs w:val="48"/>
          <w:highlight w:val="none"/>
        </w:rPr>
        <w:t>中国重汽集团济南商用车有限公司</w:t>
      </w:r>
    </w:p>
    <w:p>
      <w:pPr>
        <w:spacing w:line="276" w:lineRule="auto"/>
        <w:jc w:val="center"/>
        <w:rPr>
          <w:rFonts w:hint="eastAsia" w:ascii="Calibri" w:hAnsi="宋体" w:eastAsia="宋体" w:cs="Times New Roman"/>
          <w:b/>
          <w:bCs/>
          <w:color w:val="000000"/>
          <w:spacing w:val="-8"/>
          <w:sz w:val="48"/>
          <w:szCs w:val="48"/>
          <w:highlight w:val="none"/>
        </w:rPr>
      </w:pPr>
      <w:r>
        <w:rPr>
          <w:rFonts w:hint="eastAsia" w:ascii="Calibri" w:hAnsi="宋体" w:eastAsia="宋体" w:cs="Times New Roman"/>
          <w:b/>
          <w:bCs/>
          <w:color w:val="000000"/>
          <w:spacing w:val="-8"/>
          <w:sz w:val="48"/>
          <w:szCs w:val="48"/>
          <w:highlight w:val="none"/>
        </w:rPr>
        <w:t>轻卡制造公司</w:t>
      </w:r>
    </w:p>
    <w:p>
      <w:pPr>
        <w:spacing w:line="276" w:lineRule="auto"/>
        <w:jc w:val="center"/>
        <w:rPr>
          <w:rFonts w:hint="default" w:ascii="Calibri" w:hAnsi="Calibri" w:eastAsia="宋体" w:cs="Times New Roman"/>
          <w:b/>
          <w:bCs/>
          <w:color w:val="000000"/>
          <w:spacing w:val="-8"/>
          <w:sz w:val="48"/>
          <w:szCs w:val="48"/>
          <w:highlight w:val="none"/>
          <w:lang w:val="en-US" w:eastAsia="zh-CN"/>
        </w:rPr>
      </w:pPr>
      <w:r>
        <w:rPr>
          <w:rFonts w:hint="eastAsia" w:ascii="Calibri" w:hAnsi="Calibri" w:eastAsia="宋体" w:cs="Times New Roman"/>
          <w:b/>
          <w:bCs/>
          <w:color w:val="000000"/>
          <w:spacing w:val="-8"/>
          <w:sz w:val="48"/>
          <w:szCs w:val="48"/>
          <w:highlight w:val="none"/>
          <w:lang w:val="en-US" w:eastAsia="zh-CN"/>
        </w:rPr>
        <w:t>轻卡焊装线KD改造项目</w:t>
      </w:r>
    </w:p>
    <w:p>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hint="eastAsia" w:ascii="黑体" w:hAnsi="宋体" w:eastAsia="黑体" w:cs="Times New Roman"/>
          <w:color w:val="000000"/>
          <w:sz w:val="72"/>
          <w:szCs w:val="72"/>
        </w:rPr>
      </w:pPr>
    </w:p>
    <w:p>
      <w:pPr>
        <w:pStyle w:val="16"/>
        <w:rPr>
          <w:rFonts w:hint="eastAsia" w:ascii="黑体" w:hAnsi="宋体" w:eastAsia="黑体" w:cs="Times New Roman"/>
          <w:color w:val="000000"/>
          <w:sz w:val="72"/>
          <w:szCs w:val="72"/>
        </w:rPr>
      </w:pP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人：中国重汽集团济南商用车有限公司轻卡制造公司</w:t>
      </w:r>
    </w:p>
    <w:p>
      <w:pPr>
        <w:jc w:val="center"/>
        <w:rPr>
          <w:rFonts w:ascii="Calibri" w:hAnsi="Calibri" w:eastAsia="宋体" w:cs="Times New Roman"/>
          <w:b/>
          <w:bCs/>
          <w:kern w:val="44"/>
          <w:sz w:val="36"/>
          <w:szCs w:val="44"/>
          <w:highlight w:val="red"/>
        </w:r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spacing w:line="360" w:lineRule="auto"/>
        <w:rPr>
          <w:rFonts w:hint="eastAsia"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pPr>
        <w:keepNext/>
        <w:keepLines/>
        <w:spacing w:before="120" w:after="120" w:line="360" w:lineRule="auto"/>
        <w:jc w:val="center"/>
        <w:outlineLvl w:val="0"/>
        <w:rPr>
          <w:rFonts w:hint="eastAsia" w:ascii="黑体" w:hAnsi="等线" w:eastAsia="黑体" w:cs="Times New Roman"/>
          <w:kern w:val="44"/>
          <w:sz w:val="28"/>
          <w:szCs w:val="28"/>
        </w:rPr>
      </w:pPr>
      <w:r>
        <w:rPr>
          <w:rFonts w:hint="eastAsia" w:ascii="黑体" w:hAnsi="等线" w:eastAsia="黑体" w:cs="Times New Roman"/>
          <w:kern w:val="44"/>
          <w:sz w:val="28"/>
          <w:szCs w:val="28"/>
        </w:rPr>
        <w:t>第一章</w:t>
      </w:r>
      <w:r>
        <w:rPr>
          <w:rFonts w:ascii="黑体" w:hAnsi="等线" w:eastAsia="黑体" w:cs="Times New Roman"/>
          <w:kern w:val="44"/>
          <w:sz w:val="28"/>
          <w:szCs w:val="28"/>
        </w:rPr>
        <w:t xml:space="preserve">  </w:t>
      </w:r>
      <w:r>
        <w:rPr>
          <w:rFonts w:hint="eastAsia" w:ascii="黑体" w:hAnsi="等线" w:eastAsia="黑体" w:cs="Times New Roman"/>
          <w:kern w:val="44"/>
          <w:sz w:val="28"/>
          <w:szCs w:val="28"/>
        </w:rPr>
        <w:t>采购货物概况</w:t>
      </w:r>
    </w:p>
    <w:p>
      <w:pPr>
        <w:keepNext/>
        <w:keepLines/>
        <w:spacing w:before="120" w:after="120" w:line="360" w:lineRule="auto"/>
        <w:jc w:val="center"/>
        <w:outlineLvl w:val="1"/>
        <w:rPr>
          <w:rFonts w:ascii="Arial" w:hAnsi="Arial" w:eastAsia="宋体" w:cs="Times New Roman"/>
          <w:sz w:val="24"/>
          <w:szCs w:val="24"/>
        </w:rPr>
      </w:pPr>
      <w:r>
        <w:rPr>
          <w:rFonts w:hint="eastAsia" w:ascii="Arial" w:hAnsi="Arial" w:eastAsia="宋体" w:cs="Times New Roman"/>
          <w:sz w:val="24"/>
          <w:szCs w:val="24"/>
        </w:rPr>
        <w:t>第一节</w:t>
      </w:r>
      <w:r>
        <w:rPr>
          <w:rFonts w:ascii="Arial" w:hAnsi="Arial" w:eastAsia="宋体" w:cs="Times New Roman"/>
          <w:sz w:val="24"/>
          <w:szCs w:val="24"/>
        </w:rPr>
        <w:t xml:space="preserve">  </w:t>
      </w:r>
      <w:r>
        <w:rPr>
          <w:rFonts w:hint="eastAsia" w:ascii="Arial" w:hAnsi="Arial" w:eastAsia="宋体" w:cs="Times New Roman"/>
          <w:sz w:val="24"/>
          <w:szCs w:val="24"/>
        </w:rPr>
        <w:t>使用环境</w:t>
      </w:r>
    </w:p>
    <w:p>
      <w:pPr>
        <w:snapToGrid w:val="0"/>
        <w:spacing w:line="360" w:lineRule="auto"/>
        <w:ind w:left="2100" w:leftChars="200" w:hanging="1680" w:hangingChars="700"/>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s="宋体"/>
          <w:sz w:val="24"/>
          <w:szCs w:val="24"/>
          <w:u w:val="single"/>
          <w:shd w:val="pct10" w:color="auto" w:fill="FFFFFF"/>
          <w:lang w:val="en-US" w:eastAsia="zh-CN"/>
        </w:rPr>
        <w:t>轻卡焊装线KD改造项目</w:t>
      </w:r>
    </w:p>
    <w:p>
      <w:pPr>
        <w:snapToGrid w:val="0"/>
        <w:spacing w:line="360" w:lineRule="auto"/>
        <w:ind w:left="2100" w:leftChars="200" w:hanging="1680" w:hangingChars="700"/>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shd w:val="pct10" w:color="auto" w:fill="FFFFFF"/>
        </w:rPr>
        <w:t>济南轻卡制造公司焊装车间</w:t>
      </w:r>
      <w:r>
        <w:rPr>
          <w:rFonts w:ascii="宋体" w:hAnsi="宋体" w:eastAsia="宋体" w:cs="宋体"/>
          <w:sz w:val="24"/>
          <w:szCs w:val="24"/>
          <w:u w:val="single"/>
          <w:shd w:val="pct10" w:color="auto" w:fill="FFFFFF"/>
        </w:rPr>
        <w:t xml:space="preserve"> </w:t>
      </w:r>
    </w:p>
    <w:p>
      <w:pPr>
        <w:spacing w:line="360" w:lineRule="auto"/>
        <w:ind w:left="2100" w:leftChars="200" w:hanging="1680" w:hangingChars="700"/>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三、使用地点：</w:t>
      </w:r>
      <w:r>
        <w:rPr>
          <w:rFonts w:hint="eastAsia" w:ascii="宋体" w:hAnsi="宋体" w:eastAsia="宋体" w:cs="宋体"/>
          <w:sz w:val="24"/>
          <w:szCs w:val="24"/>
          <w:u w:val="single"/>
          <w:shd w:val="pct10" w:color="auto" w:fill="FFFFFF"/>
        </w:rPr>
        <w:t>济南轻卡制造公司焊装车间</w:t>
      </w:r>
      <w:r>
        <w:rPr>
          <w:rFonts w:ascii="宋体" w:hAnsi="宋体" w:eastAsia="宋体" w:cs="宋体"/>
          <w:sz w:val="24"/>
          <w:szCs w:val="24"/>
          <w:u w:val="single"/>
          <w:shd w:val="pct10" w:color="auto" w:fill="FFFFFF"/>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四、工作制度：采用双班工作制，年工作日251天。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五、使用地点区域自然环境：</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海拔高度：1000m以下</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室外温度：-20℃～40℃</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室内温度：-5℃～45℃</w:t>
      </w:r>
      <w:r>
        <w:rPr>
          <w:rFonts w:hint="eastAsia" w:ascii="宋体" w:hAnsi="宋体" w:eastAsia="宋体" w:cs="宋体"/>
          <w:sz w:val="24"/>
          <w:szCs w:val="24"/>
        </w:rPr>
        <w:tab/>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环境湿度：在20℃时最大湿度为90%</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压缩空气压力：0.4～0.6Mpa</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电源电压：380V±15%，50 Hz±2%</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本项目的工作制度、产能、节拍及效率如下，投标方提供的设施、设备必须满足此要求。</w:t>
      </w:r>
    </w:p>
    <w:p>
      <w:pPr>
        <w:numPr>
          <w:ilvl w:val="0"/>
          <w:numId w:val="0"/>
        </w:numPr>
        <w:spacing w:line="360" w:lineRule="auto"/>
        <w:ind w:left="480" w:leftChars="0"/>
        <w:rPr>
          <w:rFonts w:hint="eastAsia" w:ascii="宋体" w:hAnsi="宋体" w:eastAsia="宋体" w:cs="宋体"/>
          <w:sz w:val="24"/>
          <w:szCs w:val="24"/>
        </w:rPr>
      </w:pPr>
    </w:p>
    <w:tbl>
      <w:tblPr>
        <w:tblStyle w:val="36"/>
        <w:tblW w:w="3977"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182"/>
        <w:gridCol w:w="1512"/>
        <w:gridCol w:w="807"/>
        <w:gridCol w:w="1580"/>
        <w:gridCol w:w="1469"/>
        <w:gridCol w:w="8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No.</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主体工程</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班次</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工艺节拍</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设备开动率</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地板KD改造</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6min</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85%</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前围KD改造</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3min</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85%</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后围KD改造</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3min</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85%</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bl>
    <w:p>
      <w:pPr>
        <w:spacing w:line="360" w:lineRule="auto"/>
        <w:rPr>
          <w:rFonts w:hint="eastAsia" w:ascii="宋体" w:hAnsi="宋体" w:eastAsia="宋体" w:cs="宋体"/>
          <w:sz w:val="24"/>
          <w:szCs w:val="24"/>
        </w:rPr>
      </w:pPr>
      <w:r>
        <w:rPr>
          <w:rFonts w:hint="eastAsia" w:ascii="宋体" w:hAnsi="宋体" w:eastAsia="宋体" w:cs="宋体"/>
          <w:sz w:val="24"/>
          <w:szCs w:val="24"/>
        </w:rPr>
        <w:t>备注：</w:t>
      </w:r>
    </w:p>
    <w:p>
      <w:pPr>
        <w:pStyle w:val="13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设备开动率指设备计划生产时间内：设备实际开动时间/（设备实际开动时间+设备停机时间）</w:t>
      </w:r>
      <w:r>
        <w:rPr>
          <w:rFonts w:hint="eastAsia" w:ascii="宋体" w:hAnsi="宋体" w:eastAsia="宋体" w:cs="宋体"/>
          <w:sz w:val="24"/>
          <w:szCs w:val="24"/>
          <w:lang w:eastAsia="zh-CN"/>
        </w:rPr>
        <w:t>。</w:t>
      </w:r>
    </w:p>
    <w:p>
      <w:pPr>
        <w:pStyle w:val="13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sz w:val="24"/>
          <w:szCs w:val="24"/>
        </w:rPr>
      </w:pPr>
      <w:r>
        <w:rPr>
          <w:rFonts w:hint="eastAsia" w:ascii="宋体" w:hAnsi="宋体" w:eastAsia="宋体" w:cs="宋体"/>
          <w:sz w:val="24"/>
          <w:szCs w:val="24"/>
        </w:rPr>
        <w:t>需要投标方对生产线各工位进行节拍平衡调试。</w:t>
      </w:r>
    </w:p>
    <w:p>
      <w:pPr>
        <w:pStyle w:val="13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节拍要求仅针对轻卡焊装线KD改造项目涉及产品，线体内原有驾驶室总成节拍要求≤2.2min,保持改造前的节拍不变。</w:t>
      </w:r>
    </w:p>
    <w:p>
      <w:pPr>
        <w:numPr>
          <w:ilvl w:val="0"/>
          <w:numId w:val="26"/>
        </w:numPr>
        <w:spacing w:line="360" w:lineRule="auto"/>
        <w:rPr>
          <w:rFonts w:hint="eastAsia" w:ascii="宋体" w:hAnsi="宋体" w:eastAsia="宋体" w:cs="宋体"/>
          <w:sz w:val="24"/>
          <w:szCs w:val="24"/>
        </w:rPr>
      </w:pPr>
      <w:bookmarkStart w:id="30" w:name="_Toc7543474"/>
      <w:r>
        <w:rPr>
          <w:rFonts w:hint="eastAsia" w:ascii="宋体" w:hAnsi="宋体" w:eastAsia="宋体" w:cs="宋体"/>
          <w:sz w:val="24"/>
          <w:szCs w:val="24"/>
        </w:rPr>
        <w:t>工作制度和年时基数</w:t>
      </w:r>
      <w:bookmarkEnd w:id="30"/>
    </w:p>
    <w:tbl>
      <w:tblPr>
        <w:tblStyle w:val="36"/>
        <w:tblW w:w="4996"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76"/>
        <w:gridCol w:w="2376"/>
        <w:gridCol w:w="1876"/>
        <w:gridCol w:w="724"/>
        <w:gridCol w:w="1259"/>
        <w:gridCol w:w="1304"/>
        <w:gridCol w:w="116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1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No.</w:t>
            </w:r>
          </w:p>
        </w:tc>
        <w:tc>
          <w:tcPr>
            <w:tcW w:w="1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产线名称</w:t>
            </w:r>
          </w:p>
        </w:tc>
        <w:tc>
          <w:tcPr>
            <w:tcW w:w="101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全年工作日（d）</w:t>
            </w:r>
          </w:p>
        </w:tc>
        <w:tc>
          <w:tcPr>
            <w:tcW w:w="3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班次</w:t>
            </w:r>
          </w:p>
        </w:tc>
        <w:tc>
          <w:tcPr>
            <w:tcW w:w="6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每班小时</w:t>
            </w:r>
          </w:p>
        </w:tc>
        <w:tc>
          <w:tcPr>
            <w:tcW w:w="132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公称年时基数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5" w:hRule="atLeast"/>
          <w:jc w:val="center"/>
        </w:trPr>
        <w:tc>
          <w:tcPr>
            <w:tcW w:w="3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1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10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3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7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设备</w:t>
            </w:r>
          </w:p>
        </w:tc>
        <w:tc>
          <w:tcPr>
            <w:tcW w:w="6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工人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2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轻卡</w:t>
            </w:r>
            <w:r>
              <w:rPr>
                <w:rFonts w:hint="eastAsia" w:ascii="宋体" w:hAnsi="宋体" w:eastAsia="宋体" w:cs="宋体"/>
                <w:sz w:val="24"/>
                <w:szCs w:val="24"/>
              </w:rPr>
              <w:t>焊装线</w:t>
            </w:r>
            <w:r>
              <w:rPr>
                <w:rFonts w:hint="eastAsia" w:ascii="宋体" w:hAnsi="宋体" w:eastAsia="宋体" w:cs="宋体"/>
                <w:sz w:val="24"/>
                <w:szCs w:val="24"/>
                <w:lang w:val="en-US" w:eastAsia="zh-CN"/>
              </w:rPr>
              <w:t>KD</w:t>
            </w:r>
            <w:r>
              <w:rPr>
                <w:rFonts w:hint="eastAsia" w:ascii="宋体" w:hAnsi="宋体" w:eastAsia="宋体" w:cs="宋体"/>
                <w:sz w:val="24"/>
                <w:szCs w:val="24"/>
              </w:rPr>
              <w:t>改造</w:t>
            </w:r>
          </w:p>
        </w:tc>
        <w:tc>
          <w:tcPr>
            <w:tcW w:w="10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251</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双班</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7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4016</w:t>
            </w:r>
          </w:p>
        </w:tc>
        <w:tc>
          <w:tcPr>
            <w:tcW w:w="6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2008</w:t>
            </w:r>
          </w:p>
        </w:tc>
      </w:tr>
    </w:tbl>
    <w:p>
      <w:pPr>
        <w:spacing w:line="360" w:lineRule="auto"/>
        <w:ind w:left="480"/>
        <w:rPr>
          <w:rFonts w:hint="eastAsia" w:ascii="宋体" w:hAnsi="宋体" w:eastAsia="宋体" w:cs="宋体"/>
          <w:sz w:val="24"/>
          <w:szCs w:val="24"/>
        </w:rPr>
      </w:pPr>
    </w:p>
    <w:p>
      <w:pPr>
        <w:keepNext/>
        <w:keepLines/>
        <w:spacing w:before="120" w:after="120" w:line="360" w:lineRule="auto"/>
        <w:jc w:val="center"/>
        <w:outlineLvl w:val="1"/>
        <w:rPr>
          <w:rFonts w:ascii="Arial" w:hAnsi="Arial" w:eastAsia="宋体" w:cs="Times New Roman"/>
          <w:sz w:val="24"/>
          <w:szCs w:val="24"/>
        </w:rPr>
      </w:pPr>
      <w:r>
        <w:rPr>
          <w:rFonts w:hint="eastAsia" w:ascii="Arial" w:hAnsi="Arial" w:eastAsia="宋体" w:cs="Times New Roman"/>
          <w:sz w:val="24"/>
          <w:szCs w:val="24"/>
        </w:rPr>
        <w:t>第二节  采购货物概况</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shd w:val="pct10" w:color="auto" w:fill="FFFFFF"/>
          <w:lang w:val="en-US" w:eastAsia="zh-CN"/>
        </w:rPr>
        <w:t>轻卡焊装线KD改造项目</w:t>
      </w:r>
      <w:r>
        <w:rPr>
          <w:rFonts w:hint="eastAsia" w:ascii="宋体" w:hAnsi="宋体" w:eastAsia="宋体" w:cs="宋体"/>
          <w:sz w:val="24"/>
          <w:szCs w:val="24"/>
        </w:rPr>
        <w:t>（详见下表）</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二、货物数量：</w:t>
      </w:r>
      <w:r>
        <w:rPr>
          <w:rFonts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 xml:space="preserve">  </w:t>
      </w:r>
      <w:r>
        <w:rPr>
          <w:rFonts w:ascii="宋体" w:hAnsi="宋体" w:eastAsia="宋体" w:cs="宋体"/>
          <w:sz w:val="24"/>
          <w:szCs w:val="24"/>
          <w:u w:val="single"/>
          <w:shd w:val="pct10" w:color="auto" w:fill="FFFFFF"/>
        </w:rPr>
        <w:t xml:space="preserve"> </w:t>
      </w:r>
      <w:r>
        <w:rPr>
          <w:rFonts w:hint="eastAsia" w:ascii="宋体" w:hAnsi="宋体" w:eastAsia="宋体" w:cs="宋体"/>
          <w:sz w:val="24"/>
          <w:szCs w:val="24"/>
        </w:rPr>
        <w:t>（详见下表）</w:t>
      </w:r>
    </w:p>
    <w:p>
      <w:pPr>
        <w:spacing w:line="360" w:lineRule="auto"/>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三、分投分中：</w:t>
      </w:r>
      <w:r>
        <w:rPr>
          <w:rFonts w:hint="eastAsia" w:ascii="宋体" w:hAnsi="宋体" w:eastAsia="宋体" w:cs="宋体"/>
          <w:sz w:val="24"/>
          <w:szCs w:val="24"/>
          <w:highlight w:val="yellow"/>
          <w:u w:val="single"/>
          <w:shd w:val="pct10" w:color="auto" w:fill="FFFFFF"/>
        </w:rPr>
        <w:t>不允许</w:t>
      </w:r>
    </w:p>
    <w:p>
      <w:pPr>
        <w:spacing w:line="360" w:lineRule="auto"/>
        <w:ind w:firstLine="480" w:firstLineChars="200"/>
        <w:rPr>
          <w:rFonts w:hint="eastAsia" w:ascii="宋体" w:hAnsi="宋体" w:eastAsia="宋体" w:cs="宋体"/>
          <w:sz w:val="24"/>
          <w:szCs w:val="24"/>
          <w:u w:val="single"/>
          <w:shd w:val="pct10" w:color="auto" w:fill="FFFFFF"/>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改造现有轻卡自动化焊装线，</w:t>
      </w:r>
      <w:r>
        <w:rPr>
          <w:rFonts w:hint="eastAsia" w:ascii="宋体" w:hAnsi="宋体" w:eastAsia="宋体" w:cs="宋体"/>
          <w:sz w:val="24"/>
          <w:szCs w:val="24"/>
          <w:highlight w:val="yellow"/>
          <w:lang w:val="en-US" w:eastAsia="zh-CN"/>
        </w:rPr>
        <w:t>使具备轻卡和全新一代中/宽体单排/排半全车型前围、后围及地板KD总成件的生产和下线能力，最终满足以下所有KD总成件的生产和下线：</w:t>
      </w:r>
    </w:p>
    <w:p>
      <w:pPr>
        <w:ind w:firstLine="640"/>
        <w:rPr>
          <w:rFonts w:hint="eastAsia" w:ascii="宋体" w:hAnsi="宋体" w:eastAsia="宋体" w:cs="宋体"/>
          <w:sz w:val="24"/>
          <w:szCs w:val="24"/>
          <w:highlight w:val="yellow"/>
        </w:rPr>
      </w:pPr>
      <w:r>
        <w:rPr>
          <w:rFonts w:hint="eastAsia" w:ascii="宋体" w:hAnsi="宋体" w:eastAsia="宋体" w:cs="宋体"/>
          <w:sz w:val="24"/>
          <w:szCs w:val="24"/>
          <w:highlight w:val="yellow"/>
        </w:rPr>
        <w:t>轻卡中</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宽体单排</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排半</w:t>
      </w:r>
      <w:r>
        <w:rPr>
          <w:rFonts w:hint="eastAsia" w:ascii="宋体" w:hAnsi="宋体" w:eastAsia="宋体" w:cs="宋体"/>
          <w:sz w:val="24"/>
          <w:szCs w:val="24"/>
          <w:highlight w:val="yellow"/>
          <w:lang w:val="en-US" w:eastAsia="zh-CN"/>
        </w:rPr>
        <w:t>车型</w:t>
      </w:r>
      <w:r>
        <w:rPr>
          <w:rFonts w:hint="eastAsia" w:ascii="宋体" w:hAnsi="宋体" w:eastAsia="宋体" w:cs="宋体"/>
          <w:sz w:val="24"/>
          <w:szCs w:val="24"/>
          <w:highlight w:val="yellow"/>
        </w:rPr>
        <w:t>：</w:t>
      </w:r>
    </w:p>
    <w:tbl>
      <w:tblPr>
        <w:tblStyle w:val="37"/>
        <w:tblW w:w="6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188"/>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车门本体总成（左）</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1880车型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车门本体总成（右）</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中体前围总成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单排左侧围总成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单排右侧围总成（与左件对称）</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中体后围总成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中体单排地板总成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排半左侧围总成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排半右侧围总成（与左件对称）</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中体排半地板总成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中体单排顶盖总成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中体排半顶盖总成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车门本体总成（左）</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2080车型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车门本体总成（右）</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宽体前围内板总成（金属面罩）</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单排左侧围总成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单排右侧围总成（与左件对称）</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宽体后围总成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宽体单排地板总成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排半左侧围总成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排半右侧围总成（与左件对称）</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宽体排半地板总成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宽体单排顶盖总成（轻卡新造型）</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宽体排半顶盖总成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bl>
    <w:p>
      <w:pPr>
        <w:ind w:firstLine="640"/>
        <w:rPr>
          <w:rFonts w:hint="eastAsia" w:ascii="宋体" w:hAnsi="宋体" w:eastAsia="宋体" w:cs="宋体"/>
          <w:sz w:val="24"/>
          <w:szCs w:val="24"/>
        </w:rPr>
      </w:pPr>
    </w:p>
    <w:p>
      <w:pPr>
        <w:ind w:firstLine="640"/>
        <w:rPr>
          <w:rFonts w:hint="eastAsia" w:ascii="宋体" w:hAnsi="宋体" w:eastAsia="宋体" w:cs="宋体"/>
          <w:sz w:val="24"/>
          <w:szCs w:val="24"/>
        </w:rPr>
      </w:pPr>
    </w:p>
    <w:p>
      <w:pPr>
        <w:ind w:firstLine="640"/>
        <w:rPr>
          <w:rFonts w:hint="eastAsia" w:ascii="宋体" w:hAnsi="宋体" w:eastAsia="宋体" w:cs="宋体"/>
          <w:sz w:val="24"/>
          <w:szCs w:val="24"/>
        </w:rPr>
      </w:pPr>
    </w:p>
    <w:p>
      <w:pPr>
        <w:spacing w:line="360" w:lineRule="auto"/>
        <w:ind w:left="480"/>
        <w:rPr>
          <w:rFonts w:hint="eastAsia" w:ascii="宋体" w:hAnsi="宋体" w:eastAsia="宋体" w:cs="宋体"/>
          <w:sz w:val="24"/>
          <w:szCs w:val="24"/>
          <w:highlight w:val="yellow"/>
        </w:rPr>
      </w:pPr>
    </w:p>
    <w:p>
      <w:pPr>
        <w:spacing w:line="360" w:lineRule="auto"/>
        <w:ind w:left="480"/>
        <w:rPr>
          <w:rFonts w:hint="eastAsia" w:ascii="宋体" w:hAnsi="宋体" w:eastAsia="宋体" w:cs="宋体"/>
          <w:sz w:val="24"/>
          <w:szCs w:val="24"/>
          <w:highlight w:val="yellow"/>
        </w:rPr>
      </w:pPr>
    </w:p>
    <w:p>
      <w:pPr>
        <w:spacing w:line="360" w:lineRule="auto"/>
        <w:ind w:left="480"/>
        <w:rPr>
          <w:rFonts w:hint="eastAsia" w:ascii="宋体" w:hAnsi="宋体" w:eastAsia="宋体" w:cs="宋体"/>
          <w:sz w:val="24"/>
          <w:szCs w:val="24"/>
          <w:highlight w:val="yellow"/>
        </w:rPr>
      </w:pPr>
      <w:r>
        <w:rPr>
          <w:rFonts w:hint="eastAsia" w:ascii="宋体" w:hAnsi="宋体" w:eastAsia="宋体" w:cs="宋体"/>
          <w:sz w:val="24"/>
          <w:szCs w:val="24"/>
          <w:highlight w:val="yellow"/>
        </w:rPr>
        <w:t>全新一代</w:t>
      </w:r>
      <w:r>
        <w:rPr>
          <w:rFonts w:hint="eastAsia" w:ascii="宋体" w:hAnsi="宋体" w:eastAsia="宋体" w:cs="宋体"/>
          <w:sz w:val="24"/>
          <w:szCs w:val="24"/>
          <w:highlight w:val="yellow"/>
          <w:lang w:val="en-US" w:eastAsia="zh-CN"/>
        </w:rPr>
        <w:t>中/宽体单排/排半车型</w:t>
      </w:r>
      <w:r>
        <w:rPr>
          <w:rFonts w:hint="eastAsia" w:ascii="宋体" w:hAnsi="宋体" w:eastAsia="宋体" w:cs="宋体"/>
          <w:sz w:val="24"/>
          <w:szCs w:val="24"/>
          <w:highlight w:val="yellow"/>
        </w:rPr>
        <w:t>：</w:t>
      </w:r>
    </w:p>
    <w:tbl>
      <w:tblPr>
        <w:tblStyle w:val="37"/>
        <w:tblW w:w="6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188"/>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左车门焊接总成</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右车门焊接总成（观察窗）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单排左侧围总成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单排右侧围总成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排半左侧围总成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排半右侧围总成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中体前围总成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中体后围总成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中体单排顶盖总成（天窗）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中体单排地板总成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中体排半顶盖总成（天窗）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中体排半地板总成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左车门焊接总成</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右车门焊接总成（观察窗）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单排左侧围总成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单排右侧围总成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排半左侧围总成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排半右侧围总成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宽体前围总成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宽体后围总成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宽体单排顶盖总成（天窗）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宽体单排地板总成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宽体排半顶盖总成（天窗）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宽体排半地板总成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bl>
    <w:p>
      <w:pPr>
        <w:spacing w:line="360" w:lineRule="auto"/>
        <w:rPr>
          <w:rFonts w:hint="eastAsia" w:ascii="宋体" w:hAnsi="宋体" w:eastAsia="宋体" w:cs="宋体"/>
          <w:sz w:val="24"/>
          <w:szCs w:val="24"/>
        </w:rPr>
      </w:pPr>
    </w:p>
    <w:p>
      <w:pPr>
        <w:spacing w:line="360" w:lineRule="auto"/>
        <w:ind w:left="480"/>
        <w:rPr>
          <w:rFonts w:hint="eastAsia" w:ascii="宋体" w:hAnsi="宋体" w:eastAsia="宋体" w:cs="宋体"/>
          <w:sz w:val="24"/>
          <w:szCs w:val="24"/>
          <w:highlight w:val="yellow"/>
        </w:rPr>
      </w:pPr>
      <w:r>
        <w:rPr>
          <w:rFonts w:hint="eastAsia" w:ascii="宋体" w:hAnsi="宋体" w:eastAsia="宋体" w:cs="宋体"/>
          <w:sz w:val="24"/>
          <w:szCs w:val="24"/>
          <w:highlight w:val="yellow"/>
        </w:rPr>
        <w:t>主要供货明细详见下表：</w:t>
      </w:r>
    </w:p>
    <w:tbl>
      <w:tblPr>
        <w:tblStyle w:val="36"/>
        <w:tblW w:w="9776" w:type="dxa"/>
        <w:tblInd w:w="0" w:type="dxa"/>
        <w:tblLayout w:type="fixed"/>
        <w:tblCellMar>
          <w:top w:w="0" w:type="dxa"/>
          <w:left w:w="108" w:type="dxa"/>
          <w:bottom w:w="0" w:type="dxa"/>
          <w:right w:w="108" w:type="dxa"/>
        </w:tblCellMar>
      </w:tblPr>
      <w:tblGrid>
        <w:gridCol w:w="506"/>
        <w:gridCol w:w="763"/>
        <w:gridCol w:w="1325"/>
        <w:gridCol w:w="1299"/>
        <w:gridCol w:w="2100"/>
        <w:gridCol w:w="3783"/>
      </w:tblGrid>
      <w:tr>
        <w:tblPrEx>
          <w:tblCellMar>
            <w:top w:w="0" w:type="dxa"/>
            <w:left w:w="108" w:type="dxa"/>
            <w:bottom w:w="0" w:type="dxa"/>
            <w:right w:w="108" w:type="dxa"/>
          </w:tblCellMar>
        </w:tblPrEx>
        <w:trPr>
          <w:trHeight w:val="680" w:hRule="exact"/>
        </w:trPr>
        <w:tc>
          <w:tcPr>
            <w:tcW w:w="977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轻卡焊装线KD改造项目设备清单</w:t>
            </w:r>
          </w:p>
        </w:tc>
      </w:tr>
      <w:tr>
        <w:tblPrEx>
          <w:tblCellMar>
            <w:top w:w="0" w:type="dxa"/>
            <w:left w:w="108" w:type="dxa"/>
            <w:bottom w:w="0" w:type="dxa"/>
            <w:right w:w="108" w:type="dxa"/>
          </w:tblCellMar>
        </w:tblPrEx>
        <w:trPr>
          <w:trHeight w:val="680" w:hRule="exact"/>
        </w:trPr>
        <w:tc>
          <w:tcPr>
            <w:tcW w:w="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76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区域</w:t>
            </w: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设备名称</w:t>
            </w:r>
          </w:p>
        </w:tc>
        <w:tc>
          <w:tcPr>
            <w:tcW w:w="129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21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新增/改造</w:t>
            </w:r>
          </w:p>
        </w:tc>
        <w:tc>
          <w:tcPr>
            <w:tcW w:w="378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6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地板总成</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吊具</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1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新增/</w:t>
            </w:r>
            <w:r>
              <w:rPr>
                <w:rFonts w:hint="eastAsia" w:ascii="宋体" w:hAnsi="宋体" w:eastAsia="宋体" w:cs="宋体"/>
                <w:sz w:val="24"/>
                <w:szCs w:val="24"/>
                <w:lang w:val="en-US" w:eastAsia="zh-CN"/>
              </w:rPr>
              <w:t>改造</w:t>
            </w:r>
          </w:p>
        </w:tc>
        <w:tc>
          <w:tcPr>
            <w:tcW w:w="37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修车线尾吊具新增/</w:t>
            </w:r>
            <w:r>
              <w:rPr>
                <w:rFonts w:hint="eastAsia" w:ascii="宋体" w:hAnsi="宋体" w:eastAsia="宋体" w:cs="宋体"/>
                <w:sz w:val="24"/>
                <w:szCs w:val="24"/>
                <w:lang w:val="en-US" w:eastAsia="zh-CN"/>
              </w:rPr>
              <w:t>Pickup吊具硬件改造</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63" w:type="dxa"/>
            <w:vMerge w:val="restart"/>
            <w:tcBorders>
              <w:top w:val="nil"/>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前围总成</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下件台</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378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新增前围总成下件台，全车型共用</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围栏</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改造</w:t>
            </w:r>
          </w:p>
        </w:tc>
        <w:tc>
          <w:tcPr>
            <w:tcW w:w="37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拆除部分围栏，改造为前围总成下件口，约2米围栏</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63"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ALL</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方案、仿真设计</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378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现场安装调试</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378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运输及现场管理</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378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bl>
    <w:p>
      <w:pPr>
        <w:spacing w:line="360" w:lineRule="auto"/>
        <w:ind w:left="480"/>
        <w:rPr>
          <w:rFonts w:hint="eastAsia" w:ascii="宋体" w:hAnsi="宋体" w:eastAsia="宋体" w:cs="宋体"/>
          <w:sz w:val="24"/>
          <w:szCs w:val="24"/>
          <w:highlight w:val="yellow"/>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备注：本表所列采购货物仅为货物的主要构成部分，配套供货以及招标方所列其它货物（或设备）和服务，请投标方认真阅读“供货范围”。若有异议，</w:t>
      </w:r>
      <w:r>
        <w:rPr>
          <w:rFonts w:hint="eastAsia" w:ascii="宋体" w:hAnsi="宋体" w:eastAsia="宋体" w:cs="宋体"/>
          <w:sz w:val="24"/>
          <w:szCs w:val="24"/>
          <w:lang w:val="en-US" w:eastAsia="zh-CN"/>
        </w:rPr>
        <w:t>无论大小</w:t>
      </w:r>
      <w:r>
        <w:rPr>
          <w:rFonts w:hint="eastAsia" w:ascii="宋体" w:hAnsi="宋体" w:eastAsia="宋体" w:cs="宋体"/>
          <w:sz w:val="24"/>
          <w:szCs w:val="24"/>
        </w:rPr>
        <w:t>都应在投标文件“商务偏离”章节中予以详细说明。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本表“供货方式”：交钥匙方式——卖方负责设备的设计、制造、运输、卸载、安装、调试、试运行、验收以及培训等直至达到买方的各项要求并交付使用。</w:t>
      </w:r>
    </w:p>
    <w:p>
      <w:pPr>
        <w:spacing w:line="360" w:lineRule="auto"/>
        <w:ind w:firstLine="480" w:firstLineChars="200"/>
        <w:rPr>
          <w:rFonts w:hint="eastAsia" w:hAnsi="宋体" w:eastAsia="宋体" w:cs="宋体"/>
          <w:sz w:val="24"/>
          <w:szCs w:val="24"/>
        </w:rPr>
      </w:pPr>
      <w:r>
        <w:rPr>
          <w:rFonts w:hint="eastAsia" w:hAnsi="宋体" w:eastAsia="宋体" w:cs="宋体"/>
          <w:sz w:val="24"/>
          <w:szCs w:val="24"/>
        </w:rPr>
        <w:t>安装调试时间或终验收时间超过规定时间的，投标方应当随标书提供详细的工期计划。</w:t>
      </w:r>
    </w:p>
    <w:p>
      <w:pPr>
        <w:pStyle w:val="16"/>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交货期（需要明确）：</w:t>
      </w:r>
    </w:p>
    <w:p>
      <w:pPr>
        <w:pStyle w:val="16"/>
        <w:spacing w:line="360" w:lineRule="auto"/>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1、2</w:t>
      </w:r>
      <w:r>
        <w:rPr>
          <w:rFonts w:hAnsi="宋体" w:eastAsia="宋体" w:cs="宋体"/>
          <w:color w:val="FF0000"/>
          <w:sz w:val="24"/>
          <w:szCs w:val="24"/>
          <w:highlight w:val="yellow"/>
        </w:rPr>
        <w:t>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10</w:t>
      </w:r>
      <w:r>
        <w:rPr>
          <w:rFonts w:hint="eastAsia" w:hAnsi="宋体" w:eastAsia="宋体" w:cs="宋体"/>
          <w:color w:val="FF0000"/>
          <w:sz w:val="24"/>
          <w:szCs w:val="24"/>
          <w:highlight w:val="yellow"/>
        </w:rPr>
        <w:t>日</w:t>
      </w:r>
      <w:r>
        <w:rPr>
          <w:rFonts w:hint="eastAsia" w:hAnsi="宋体" w:eastAsia="宋体" w:cs="宋体"/>
          <w:color w:val="FF0000"/>
          <w:sz w:val="24"/>
          <w:szCs w:val="24"/>
          <w:highlight w:val="yellow"/>
          <w:lang w:val="en-US" w:eastAsia="zh-CN"/>
        </w:rPr>
        <w:t>前</w:t>
      </w:r>
      <w:r>
        <w:rPr>
          <w:rFonts w:hint="eastAsia" w:hAnsi="宋体" w:eastAsia="宋体" w:cs="宋体"/>
          <w:color w:val="FF0000"/>
          <w:sz w:val="24"/>
          <w:szCs w:val="24"/>
          <w:highlight w:val="yellow"/>
        </w:rPr>
        <w:t>设备进场。</w:t>
      </w:r>
    </w:p>
    <w:p>
      <w:pPr>
        <w:pStyle w:val="16"/>
        <w:spacing w:line="360" w:lineRule="auto"/>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2、</w:t>
      </w:r>
      <w:r>
        <w:rPr>
          <w:rFonts w:hAnsi="宋体" w:eastAsia="宋体" w:cs="宋体"/>
          <w:color w:val="FF0000"/>
          <w:sz w:val="24"/>
          <w:szCs w:val="24"/>
          <w:highlight w:val="yellow"/>
        </w:rPr>
        <w:t>202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20</w:t>
      </w:r>
      <w:r>
        <w:rPr>
          <w:rFonts w:hint="eastAsia" w:hAnsi="宋体" w:eastAsia="宋体" w:cs="宋体"/>
          <w:color w:val="FF0000"/>
          <w:sz w:val="24"/>
          <w:szCs w:val="24"/>
          <w:highlight w:val="yellow"/>
        </w:rPr>
        <w:t>日具备首车下线能力。</w:t>
      </w:r>
    </w:p>
    <w:p>
      <w:pPr>
        <w:pStyle w:val="16"/>
        <w:spacing w:line="360" w:lineRule="auto"/>
        <w:ind w:firstLine="480" w:firstLineChars="200"/>
        <w:rPr>
          <w:rFonts w:hint="eastAsia" w:hAnsi="宋体" w:eastAsia="宋体" w:cs="宋体"/>
          <w:sz w:val="24"/>
          <w:szCs w:val="24"/>
          <w:highlight w:val="yellow"/>
        </w:rPr>
      </w:pPr>
      <w:r>
        <w:rPr>
          <w:rFonts w:hint="eastAsia" w:hAnsi="宋体" w:eastAsia="宋体" w:cs="宋体"/>
          <w:color w:val="FF0000"/>
          <w:sz w:val="24"/>
          <w:szCs w:val="24"/>
          <w:highlight w:val="yellow"/>
        </w:rPr>
        <w:t>3、</w:t>
      </w:r>
      <w:r>
        <w:rPr>
          <w:rFonts w:hAnsi="宋体" w:eastAsia="宋体" w:cs="宋体"/>
          <w:color w:val="FF0000"/>
          <w:sz w:val="24"/>
          <w:szCs w:val="24"/>
          <w:highlight w:val="yellow"/>
        </w:rPr>
        <w:t>202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31</w:t>
      </w:r>
      <w:r>
        <w:rPr>
          <w:rFonts w:hint="eastAsia" w:hAnsi="宋体" w:eastAsia="宋体" w:cs="宋体"/>
          <w:color w:val="FF0000"/>
          <w:sz w:val="24"/>
          <w:szCs w:val="24"/>
          <w:highlight w:val="yellow"/>
        </w:rPr>
        <w:t>日具备批量生产能力。</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bidi="ar"/>
        </w:rPr>
        <w:t>四、采购货物特别说明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1.工程界面</w:t>
      </w:r>
    </w:p>
    <w:p>
      <w:pPr>
        <w:spacing w:line="360" w:lineRule="auto"/>
        <w:ind w:left="480"/>
        <w:jc w:val="left"/>
        <w:rPr>
          <w:rFonts w:hint="eastAsia" w:ascii="宋体" w:hAnsi="宋体" w:eastAsia="宋体" w:cs="宋体"/>
          <w:sz w:val="24"/>
          <w:szCs w:val="24"/>
          <w:lang w:bidi="zh-CN"/>
        </w:rPr>
      </w:pPr>
      <w:r>
        <w:rPr>
          <w:rFonts w:hint="eastAsia" w:ascii="宋体" w:hAnsi="宋体" w:eastAsia="宋体" w:cs="宋体"/>
          <w:sz w:val="24"/>
          <w:szCs w:val="24"/>
          <w:lang w:bidi="zh-CN"/>
        </w:rPr>
        <w:t>招标方负责将厂房一次侧的焊接母线、动力母线、进水、回水、压缩空气接入到各生产区域需求点，投标方负责从需求点接入设备。区域分配如下图所示：</w:t>
      </w:r>
    </w:p>
    <w:p>
      <w:pPr>
        <w:spacing w:line="360" w:lineRule="auto"/>
        <w:ind w:left="480"/>
        <w:rPr>
          <w:rFonts w:hint="eastAsia" w:ascii="宋体" w:hAnsi="宋体" w:eastAsia="宋体" w:cs="宋体"/>
          <w:sz w:val="24"/>
          <w:szCs w:val="24"/>
          <w:lang w:bidi="zh-CN"/>
        </w:rPr>
      </w:pPr>
      <w:r>
        <w:rPr>
          <w:rFonts w:hint="eastAsia" w:ascii="宋体" w:hAnsi="宋体" w:eastAsia="宋体" w:cs="宋体"/>
          <w:sz w:val="24"/>
          <w:szCs w:val="24"/>
        </w:rPr>
        <w:pict>
          <v:line id="直接连接符 18" o:spid="_x0000_s2050" o:spt="20" style="position:absolute;left:0pt;flip:y;margin-left:30.2pt;margin-top:72.95pt;height:0.75pt;width:404.25pt;z-index:251666432;mso-width-relative:page;mso-height-relative:page;" filled="f" stroked="t" coordsize="21600,21600" o:gfxdata="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qE1rWAAAACgEAAA8AAAAAAAAAAQAgAAAAIgAAAGRycy9kb3ducmV2&#10;LnhtbFBLAQIUABQAAAAIAIdO4kBOdz9S/gEAANMDAAAOAAAAAAAAAAEAIAAAACUBAABkcnMvZTJv&#10;RG9jLnhtbFBLBQYAAAAABgAGAFkBAACVBQAAAAA=&#10;">
            <v:path arrowok="t"/>
            <v:fill on="f" focussize="0,0"/>
            <v:stroke weight="2pt" color="#FF0000" joinstyle="round"/>
            <v:imagedata o:title=""/>
            <o:lock v:ext="edit" aspectratio="f"/>
          </v:line>
        </w:pict>
      </w:r>
      <w:r>
        <w:rPr>
          <w:rFonts w:hint="eastAsia" w:ascii="宋体" w:hAnsi="宋体" w:eastAsia="宋体" w:cs="宋体"/>
          <w:sz w:val="24"/>
          <w:szCs w:val="24"/>
        </w:rPr>
        <w:drawing>
          <wp:inline distT="0" distB="0" distL="114300" distR="114300">
            <wp:extent cx="5274310" cy="2533015"/>
            <wp:effectExtent l="0" t="0" r="2540" b="635"/>
            <wp:docPr id="40" name="图片 1" descr="Inked图片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nked图片1_LI"/>
                    <pic:cNvPicPr>
                      <a:picLocks noChangeAspect="1"/>
                    </pic:cNvPicPr>
                  </pic:nvPicPr>
                  <pic:blipFill>
                    <a:blip r:embed="rId29" cstate="print"/>
                    <a:stretch>
                      <a:fillRect/>
                    </a:stretch>
                  </pic:blipFill>
                  <pic:spPr>
                    <a:xfrm>
                      <a:off x="0" y="0"/>
                      <a:ext cx="5274310" cy="2533015"/>
                    </a:xfrm>
                    <a:prstGeom prst="rect">
                      <a:avLst/>
                    </a:prstGeom>
                    <a:noFill/>
                    <a:ln>
                      <a:noFill/>
                    </a:ln>
                  </pic:spPr>
                </pic:pic>
              </a:graphicData>
            </a:graphic>
          </wp:inline>
        </w:drawing>
      </w:r>
    </w:p>
    <w:p>
      <w:pPr>
        <w:spacing w:line="360" w:lineRule="auto"/>
        <w:ind w:left="480"/>
        <w:jc w:val="left"/>
        <w:rPr>
          <w:rFonts w:hint="eastAsia" w:ascii="宋体" w:hAnsi="宋体" w:eastAsia="宋体" w:cs="宋体"/>
          <w:sz w:val="24"/>
          <w:szCs w:val="24"/>
          <w:lang w:bidi="zh-CN"/>
        </w:rPr>
      </w:pPr>
      <w:r>
        <w:rPr>
          <w:rFonts w:hint="eastAsia" w:ascii="宋体" w:hAnsi="宋体" w:eastAsia="宋体" w:cs="宋体"/>
          <w:sz w:val="24"/>
          <w:szCs w:val="24"/>
          <w:lang w:bidi="zh-CN"/>
        </w:rPr>
        <w:t>具体内容如下表所示：</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374"/>
        <w:gridCol w:w="1319"/>
        <w:gridCol w:w="1451"/>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序号</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工作内容</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招标方</w:t>
            </w: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投标方</w:t>
            </w:r>
          </w:p>
        </w:tc>
        <w:tc>
          <w:tcPr>
            <w:tcW w:w="1789"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1</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厂房一次侧水</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Merge w:val="restar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投标方负责提供动力配电柜的数量、参数、现场安装位置等技术要求及图纸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2</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厂房一次侧电</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Merge w:val="continue"/>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3</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厂房一次侧气</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Merge w:val="continue"/>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4</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生产线二次侧水</w:t>
            </w:r>
          </w:p>
        </w:tc>
        <w:tc>
          <w:tcPr>
            <w:tcW w:w="710" w:type="pct"/>
            <w:vAlign w:val="center"/>
          </w:tcPr>
          <w:p>
            <w:pPr>
              <w:spacing w:line="360" w:lineRule="auto"/>
              <w:ind w:left="480"/>
              <w:jc w:val="center"/>
              <w:rPr>
                <w:rFonts w:hint="eastAsia" w:ascii="宋体" w:hAnsi="宋体" w:eastAsia="宋体" w:cs="宋体"/>
                <w:sz w:val="24"/>
                <w:szCs w:val="24"/>
                <w:lang w:bidi="zh-CN"/>
              </w:rPr>
            </w:pP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1789" w:type="pct"/>
            <w:vMerge w:val="restar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招标方将电源线接至投标方的电柜上方；投标方将压缩空气和循环水送至指定的位置，由投标方进行连接。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5</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生产线二次侧电</w:t>
            </w:r>
          </w:p>
        </w:tc>
        <w:tc>
          <w:tcPr>
            <w:tcW w:w="710" w:type="pct"/>
            <w:vAlign w:val="center"/>
          </w:tcPr>
          <w:p>
            <w:pPr>
              <w:spacing w:line="360" w:lineRule="auto"/>
              <w:ind w:left="480"/>
              <w:jc w:val="center"/>
              <w:rPr>
                <w:rFonts w:hint="eastAsia" w:ascii="宋体" w:hAnsi="宋体" w:eastAsia="宋体" w:cs="宋体"/>
                <w:sz w:val="24"/>
                <w:szCs w:val="24"/>
                <w:lang w:bidi="zh-CN"/>
              </w:rPr>
            </w:pP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1789" w:type="pct"/>
            <w:vMerge w:val="continue"/>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6</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生产线二次侧气</w:t>
            </w:r>
          </w:p>
        </w:tc>
        <w:tc>
          <w:tcPr>
            <w:tcW w:w="710" w:type="pct"/>
            <w:vAlign w:val="center"/>
          </w:tcPr>
          <w:p>
            <w:pPr>
              <w:spacing w:line="360" w:lineRule="auto"/>
              <w:ind w:left="480"/>
              <w:jc w:val="center"/>
              <w:rPr>
                <w:rFonts w:hint="eastAsia" w:ascii="宋体" w:hAnsi="宋体" w:eastAsia="宋体" w:cs="宋体"/>
                <w:sz w:val="24"/>
                <w:szCs w:val="24"/>
                <w:lang w:bidi="zh-CN"/>
              </w:rPr>
            </w:pP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1789" w:type="pct"/>
            <w:vMerge w:val="continue"/>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7</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厂房照明</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8</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工位照明</w:t>
            </w:r>
          </w:p>
        </w:tc>
        <w:tc>
          <w:tcPr>
            <w:tcW w:w="710" w:type="pct"/>
            <w:vAlign w:val="center"/>
          </w:tcPr>
          <w:p>
            <w:pPr>
              <w:spacing w:line="360" w:lineRule="auto"/>
              <w:ind w:left="480"/>
              <w:jc w:val="center"/>
              <w:rPr>
                <w:rFonts w:hint="eastAsia" w:ascii="宋体" w:hAnsi="宋体" w:eastAsia="宋体" w:cs="宋体"/>
                <w:sz w:val="24"/>
                <w:szCs w:val="24"/>
                <w:lang w:bidi="zh-CN"/>
              </w:rPr>
            </w:pP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1789" w:type="pct"/>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9</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设备基础</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投标方提供图纸和要求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2.主要外购部件/材料选型表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1）所有的用电设备必须符合中国的标准，投标方应主动保证所提供的设备符合或通过中国法规的认证。</w:t>
      </w:r>
    </w:p>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2）在投标方设备选型时，机械和电气元件尽可能选用同型号或种类的产品，以便减少备品备件种类。</w:t>
      </w:r>
    </w:p>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3）对于设备的品牌和材料，本标书未明确指定的，首先由投标方提出建议，最终经招标方评审通过并书面确认后实施。</w:t>
      </w:r>
    </w:p>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4）招标方推荐设备品牌选择清单如下表所示：</w:t>
      </w:r>
    </w:p>
    <w:p>
      <w:pPr>
        <w:spacing w:after="20"/>
        <w:ind w:left="253"/>
        <w:rPr>
          <w:rFonts w:hint="eastAsia" w:ascii="宋体" w:hAnsi="宋体" w:eastAsia="宋体" w:cs="宋体"/>
          <w:b/>
          <w:sz w:val="24"/>
          <w:szCs w:val="24"/>
        </w:rPr>
      </w:pPr>
    </w:p>
    <w:p>
      <w:pPr>
        <w:spacing w:after="20"/>
        <w:ind w:left="253"/>
        <w:rPr>
          <w:rFonts w:hint="eastAsia" w:ascii="宋体" w:hAnsi="宋体" w:eastAsia="宋体" w:cs="宋体"/>
          <w:b/>
          <w:sz w:val="24"/>
          <w:szCs w:val="24"/>
        </w:rPr>
      </w:pPr>
      <w:r>
        <w:rPr>
          <w:rFonts w:hint="eastAsia" w:ascii="宋体" w:hAnsi="宋体" w:eastAsia="宋体" w:cs="宋体"/>
          <w:b/>
          <w:sz w:val="24"/>
          <w:szCs w:val="24"/>
        </w:rPr>
        <w:t>机械类</w:t>
      </w:r>
    </w:p>
    <w:tbl>
      <w:tblPr>
        <w:tblStyle w:val="36"/>
        <w:tblW w:w="4998" w:type="pct"/>
        <w:jc w:val="center"/>
        <w:tblLayout w:type="autofit"/>
        <w:tblCellMar>
          <w:top w:w="0" w:type="dxa"/>
          <w:left w:w="108" w:type="dxa"/>
          <w:bottom w:w="0" w:type="dxa"/>
          <w:right w:w="108" w:type="dxa"/>
        </w:tblCellMar>
      </w:tblPr>
      <w:tblGrid>
        <w:gridCol w:w="860"/>
        <w:gridCol w:w="2921"/>
        <w:gridCol w:w="3297"/>
        <w:gridCol w:w="2204"/>
      </w:tblGrid>
      <w:tr>
        <w:trPr>
          <w:trHeight w:val="285" w:hRule="atLeast"/>
          <w:jc w:val="center"/>
        </w:trPr>
        <w:tc>
          <w:tcPr>
            <w:tcW w:w="463"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573"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设备名称</w:t>
            </w:r>
          </w:p>
        </w:tc>
        <w:tc>
          <w:tcPr>
            <w:tcW w:w="1775"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品牌</w:t>
            </w:r>
          </w:p>
        </w:tc>
        <w:tc>
          <w:tcPr>
            <w:tcW w:w="118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说明</w:t>
            </w: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气缸</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TUNKERS\Unsvorns\SMC</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迪斯泰克/或同等品牌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自动线及手工线</w:t>
            </w: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气管、接头、气源处理、气动控制元件</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FESTO\SMC\Unsvorns或同等品牌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气管为双层阻燃</w:t>
            </w: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电机及减速机</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SEW\伦茨或同等品牌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高速及有位置精度要求部分采用伺服电机</w:t>
            </w: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变频器、伺服控制器</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SEIMENS\SEW\伦茨或同等品牌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精定位转台</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TUNKERS\</w:t>
            </w:r>
            <w:r>
              <w:rPr>
                <w:rFonts w:hint="eastAsia" w:ascii="宋体" w:hAnsi="宋体" w:eastAsia="宋体" w:cs="宋体"/>
                <w:sz w:val="24"/>
                <w:szCs w:val="24"/>
              </w:rPr>
              <w:t xml:space="preserve"> </w:t>
            </w:r>
            <w:r>
              <w:fldChar w:fldCharType="begin"/>
            </w:r>
            <w:r>
              <w:instrText xml:space="preserve"> HYPERLINK "https://www.goizperindexers.com/en/servo-driven-rotary-tables" \t "_blank" </w:instrText>
            </w:r>
            <w:r>
              <w:fldChar w:fldCharType="separate"/>
            </w:r>
            <w:r>
              <w:rPr>
                <w:rFonts w:hint="eastAsia" w:ascii="宋体" w:hAnsi="宋体" w:eastAsia="宋体" w:cs="宋体"/>
                <w:color w:val="000000"/>
                <w:kern w:val="0"/>
                <w:sz w:val="24"/>
                <w:szCs w:val="24"/>
              </w:rPr>
              <w:t>GOIZPER</w:t>
            </w:r>
            <w:r>
              <w:rPr>
                <w:rFonts w:hint="eastAsia" w:ascii="宋体" w:hAnsi="宋体" w:eastAsia="宋体" w:cs="宋体"/>
                <w:color w:val="000000"/>
                <w:kern w:val="0"/>
                <w:sz w:val="24"/>
                <w:szCs w:val="24"/>
              </w:rPr>
              <w:fldChar w:fldCharType="end"/>
            </w:r>
            <w:r>
              <w:rPr>
                <w:rFonts w:hint="eastAsia" w:ascii="宋体" w:hAnsi="宋体" w:eastAsia="宋体" w:cs="宋体"/>
                <w:color w:val="000000"/>
                <w:kern w:val="0"/>
                <w:sz w:val="24"/>
                <w:szCs w:val="24"/>
              </w:rPr>
              <w:t>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伺服电机驱动</w:t>
            </w:r>
          </w:p>
        </w:tc>
      </w:tr>
    </w:tbl>
    <w:p>
      <w:pPr>
        <w:spacing w:before="25" w:after="20"/>
        <w:rPr>
          <w:rFonts w:hint="eastAsia" w:ascii="宋体" w:hAnsi="宋体" w:eastAsia="宋体" w:cs="宋体"/>
          <w:b/>
          <w:sz w:val="24"/>
          <w:szCs w:val="24"/>
        </w:rPr>
      </w:pPr>
    </w:p>
    <w:p>
      <w:pPr>
        <w:spacing w:before="22" w:after="21"/>
        <w:ind w:left="253"/>
        <w:rPr>
          <w:rFonts w:hint="eastAsia" w:ascii="宋体" w:hAnsi="宋体" w:eastAsia="宋体" w:cs="宋体"/>
          <w:b/>
          <w:sz w:val="24"/>
          <w:szCs w:val="24"/>
        </w:rPr>
      </w:pPr>
      <w:r>
        <w:rPr>
          <w:rFonts w:hint="eastAsia" w:ascii="宋体" w:hAnsi="宋体" w:eastAsia="宋体" w:cs="宋体"/>
          <w:b/>
          <w:sz w:val="24"/>
          <w:szCs w:val="24"/>
        </w:rPr>
        <w:t>电气相关采购件</w:t>
      </w:r>
    </w:p>
    <w:tbl>
      <w:tblPr>
        <w:tblStyle w:val="36"/>
        <w:tblW w:w="4998" w:type="pct"/>
        <w:jc w:val="center"/>
        <w:tblLayout w:type="autofit"/>
        <w:tblCellMar>
          <w:top w:w="0" w:type="dxa"/>
          <w:left w:w="108" w:type="dxa"/>
          <w:bottom w:w="0" w:type="dxa"/>
          <w:right w:w="108" w:type="dxa"/>
        </w:tblCellMar>
      </w:tblPr>
      <w:tblGrid>
        <w:gridCol w:w="685"/>
        <w:gridCol w:w="2108"/>
        <w:gridCol w:w="2821"/>
        <w:gridCol w:w="3668"/>
      </w:tblGrid>
      <w:tr>
        <w:tblPrEx>
          <w:tblCellMar>
            <w:top w:w="0" w:type="dxa"/>
            <w:left w:w="108" w:type="dxa"/>
            <w:bottom w:w="0" w:type="dxa"/>
            <w:right w:w="108" w:type="dxa"/>
          </w:tblCellMar>
        </w:tblPrEx>
        <w:trPr>
          <w:trHeight w:val="28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135"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设备名称</w:t>
            </w:r>
          </w:p>
        </w:tc>
        <w:tc>
          <w:tcPr>
            <w:tcW w:w="1519"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品牌</w:t>
            </w:r>
          </w:p>
        </w:tc>
        <w:tc>
          <w:tcPr>
            <w:tcW w:w="1975"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说明</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PLC及相关元器件</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Profinet通讯协议</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远程接口模块</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HMI</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 寸</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交换机</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接近开关</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BALLUFF或同等品牌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带专用的接近开关保护套</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行程开关</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OMRON或同等品牌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光电开光</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BALLUFF或同等品牌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安全光栅、安全扫描仪</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SI</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CK\基恩士\或同等品牌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安全门锁</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SICK\基恩士\或同等品牌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动力电缆</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远东或同等品牌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柔性电缆</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和柔或同等品牌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通信电缆</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信号线</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BALLUFF或同等品牌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28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w:t>
            </w:r>
          </w:p>
        </w:tc>
        <w:tc>
          <w:tcPr>
            <w:tcW w:w="1135"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机柜（配电柜、控制柜、变频柜等）</w:t>
            </w:r>
          </w:p>
        </w:tc>
        <w:tc>
          <w:tcPr>
            <w:tcW w:w="1519"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Rittal 或同等品牌</w:t>
            </w:r>
          </w:p>
        </w:tc>
        <w:tc>
          <w:tcPr>
            <w:tcW w:w="1975"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PLC 控制柜、变频器柜配置原装空调（自蒸发）</w:t>
            </w:r>
          </w:p>
        </w:tc>
      </w:tr>
      <w:tr>
        <w:tblPrEx>
          <w:tblCellMar>
            <w:top w:w="0" w:type="dxa"/>
            <w:left w:w="108" w:type="dxa"/>
            <w:bottom w:w="0" w:type="dxa"/>
            <w:right w:w="108" w:type="dxa"/>
          </w:tblCellMar>
        </w:tblPrEx>
        <w:trPr>
          <w:trHeight w:val="28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1135"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真空发生器</w:t>
            </w:r>
          </w:p>
        </w:tc>
        <w:tc>
          <w:tcPr>
            <w:tcW w:w="1519"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FESTO或同等品牌</w:t>
            </w:r>
          </w:p>
        </w:tc>
        <w:tc>
          <w:tcPr>
            <w:tcW w:w="1975"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节流式</w:t>
            </w:r>
          </w:p>
        </w:tc>
      </w:tr>
    </w:tbl>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）生产线的传感器、感应开关适用于焊装现场的抗强磁环境，具体选用品牌需在标书中明确。</w:t>
      </w:r>
    </w:p>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sz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）新增的真空发生器需采用节流式。当吸盘压力达到设定标准时，真空发生器切断压缩空气供给，并保压。直至吸盘内压力不足达到下限时，再次供气。</w:t>
      </w:r>
    </w:p>
    <w:p>
      <w:pPr>
        <w:spacing w:line="360" w:lineRule="auto"/>
        <w:ind w:firstLine="560" w:firstLineChars="200"/>
        <w:rPr>
          <w:rFonts w:hint="eastAsia" w:ascii="宋体" w:hAnsi="宋体" w:eastAsia="等线" w:cs="宋体"/>
          <w:sz w:val="28"/>
          <w:szCs w:val="28"/>
        </w:rPr>
      </w:pPr>
      <w:r>
        <w:rPr>
          <w:rFonts w:ascii="宋体" w:hAnsi="宋体" w:eastAsia="等线" w:cs="宋体"/>
          <w:sz w:val="28"/>
          <w:szCs w:val="28"/>
        </w:rPr>
        <w:br w:type="page"/>
      </w:r>
    </w:p>
    <w:p>
      <w:pPr>
        <w:keepNext/>
        <w:keepLines/>
        <w:spacing w:before="120" w:after="120" w:line="360" w:lineRule="auto"/>
        <w:jc w:val="center"/>
        <w:outlineLvl w:val="0"/>
        <w:rPr>
          <w:rFonts w:hint="eastAsia" w:ascii="黑体" w:hAnsi="黑体" w:eastAsia="黑体" w:cs="黑体"/>
          <w:kern w:val="44"/>
          <w:sz w:val="28"/>
          <w:szCs w:val="28"/>
        </w:rPr>
      </w:pPr>
      <w:r>
        <w:rPr>
          <w:rFonts w:hint="eastAsia" w:ascii="黑体" w:hAnsi="黑体" w:eastAsia="黑体" w:cs="黑体"/>
          <w:kern w:val="44"/>
          <w:sz w:val="28"/>
          <w:szCs w:val="28"/>
        </w:rPr>
        <w:t>第二章</w:t>
      </w:r>
      <w:r>
        <w:rPr>
          <w:rFonts w:ascii="黑体" w:hAnsi="黑体" w:eastAsia="黑体" w:cs="黑体"/>
          <w:kern w:val="44"/>
          <w:sz w:val="28"/>
          <w:szCs w:val="28"/>
        </w:rPr>
        <w:t xml:space="preserve">  </w:t>
      </w:r>
      <w:r>
        <w:rPr>
          <w:rFonts w:hint="eastAsia" w:ascii="黑体" w:hAnsi="黑体" w:eastAsia="黑体" w:cs="黑体"/>
          <w:kern w:val="44"/>
          <w:sz w:val="28"/>
          <w:szCs w:val="28"/>
        </w:rPr>
        <w:t>技术要求</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一、特别提示</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、为避免投标方优势在招标评审时漏项，质保期超出本技术标书要求的，应当在投标文件“技术偏离”中特别注明。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、投标文件中，针对“特别提示”条款所做的回应，将作为投标方能否中标的重要依据之一。</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二、基本要求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、投标方应满足招标方提出的各项技术要求，必要时应当免费提供技术承诺或担保。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、投标方应保证所供货物的完整性和成套性，能保证货物的正常运行、使用。</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8、程序图纸要求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HMI 界面等需要密码保护的程序，供方必须提供所有级别的用户名、密码。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供方需在设备入场前提供设备程序源码，HMI 界面各级用户名和密码，并保证与现场程序一致。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9、接口协议要求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 供方免费开放所有通讯接口，包括但不限于以太网、RS232、RS485、PROFIBUS、PROFINET、MODBUS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 供方免费提供数据交互功能，交互数据包括但不限于实时数据、历史数据、报警信息等。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 设备使用周期内，供方免费派遣技术人员与甲方调试团队共同进行设备通讯接口的调试工作。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11、设备颜色符合《Q-ZZ30070设备设施颜色标识》规定，外观无明显缺陷，重新焊接完成后，对焊接位置进行重新刷漆。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三、执行标准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、招标方此处所列标准仅为涉及的主要标准，而且不保证其为最新版执行标准；投标方应当在投标文件中认真予以填写、补充和修改完善。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、投标方需要执行的标准，应当采用所供货物通过招标方组织的最终验收之日已经开始执行的最新标准。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、采购货物没有国家或专业（部）标准的，按企业标准执行时，投标方应在合同签署之前，将所涉及的企业标准提供给招标方确认。</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、采购货物如果采用国际标准，其执行标准由投标方提供、招标方确认。</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、主要适用的标准如下：</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DB37/2376-2019</w:t>
      </w:r>
      <w:r>
        <w:rPr>
          <w:rFonts w:hint="eastAsia" w:ascii="宋体" w:hAnsi="宋体" w:eastAsia="宋体" w:cs="宋体"/>
          <w:sz w:val="24"/>
          <w:szCs w:val="24"/>
        </w:rPr>
        <w:t>《区域性大气污染物综合排放标准》表</w:t>
      </w:r>
      <w:r>
        <w:rPr>
          <w:rFonts w:ascii="宋体" w:hAnsi="宋体" w:eastAsia="宋体" w:cs="宋体"/>
          <w:sz w:val="24"/>
          <w:szCs w:val="24"/>
        </w:rPr>
        <w:t>1</w:t>
      </w:r>
      <w:r>
        <w:rPr>
          <w:rFonts w:hint="eastAsia" w:ascii="宋体" w:hAnsi="宋体" w:eastAsia="宋体" w:cs="宋体"/>
          <w:sz w:val="24"/>
          <w:szCs w:val="24"/>
        </w:rPr>
        <w:t>重点控制区限值要求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GB12348</w:t>
      </w:r>
      <w:r>
        <w:rPr>
          <w:rFonts w:hint="eastAsia" w:ascii="宋体" w:hAnsi="宋体" w:eastAsia="宋体" w:cs="宋体"/>
          <w:sz w:val="24"/>
          <w:szCs w:val="24"/>
        </w:rPr>
        <w:t>－</w:t>
      </w:r>
      <w:r>
        <w:rPr>
          <w:rFonts w:ascii="宋体" w:hAnsi="宋体" w:eastAsia="宋体" w:cs="宋体"/>
          <w:sz w:val="24"/>
          <w:szCs w:val="24"/>
        </w:rPr>
        <w:t xml:space="preserve">2008 </w:t>
      </w:r>
      <w:r>
        <w:rPr>
          <w:rFonts w:hint="eastAsia" w:ascii="宋体" w:hAnsi="宋体" w:eastAsia="宋体" w:cs="宋体"/>
          <w:sz w:val="24"/>
          <w:szCs w:val="24"/>
        </w:rPr>
        <w:t>《工业企业厂界环境噪声排放标准》中</w:t>
      </w:r>
      <w:r>
        <w:rPr>
          <w:rFonts w:ascii="宋体" w:hAnsi="宋体" w:eastAsia="宋体" w:cs="宋体"/>
          <w:sz w:val="24"/>
          <w:szCs w:val="24"/>
        </w:rPr>
        <w:t>2</w:t>
      </w:r>
      <w:r>
        <w:rPr>
          <w:rFonts w:hint="eastAsia" w:ascii="宋体" w:hAnsi="宋体" w:eastAsia="宋体" w:cs="宋体"/>
          <w:sz w:val="24"/>
          <w:szCs w:val="24"/>
        </w:rPr>
        <w:t>类标准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GB3095-2012 </w:t>
      </w:r>
      <w:r>
        <w:rPr>
          <w:rFonts w:hint="eastAsia" w:ascii="宋体" w:hAnsi="宋体" w:eastAsia="宋体" w:cs="宋体"/>
          <w:sz w:val="24"/>
          <w:szCs w:val="24"/>
        </w:rPr>
        <w:t>《环境空气质量标准》二级标准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GB/T 18883-2022 </w:t>
      </w:r>
      <w:r>
        <w:rPr>
          <w:rFonts w:hint="eastAsia" w:ascii="宋体" w:hAnsi="宋体" w:eastAsia="宋体" w:cs="宋体"/>
          <w:sz w:val="24"/>
          <w:szCs w:val="24"/>
        </w:rPr>
        <w:t>《室内空气质量标准》</w:t>
      </w:r>
    </w:p>
    <w:p>
      <w:pPr>
        <w:spacing w:line="360" w:lineRule="auto"/>
        <w:ind w:firstLine="480" w:firstLineChars="200"/>
        <w:rPr>
          <w:rFonts w:hint="eastAsia" w:ascii="宋体" w:hAnsi="宋体" w:eastAsia="宋体" w:cs="宋体"/>
          <w:color w:val="FF0000"/>
          <w:sz w:val="24"/>
          <w:szCs w:val="24"/>
        </w:rPr>
      </w:pPr>
      <w:r>
        <w:rPr>
          <w:rFonts w:ascii="宋体" w:hAnsi="宋体" w:eastAsia="宋体" w:cs="宋体"/>
          <w:sz w:val="24"/>
          <w:szCs w:val="24"/>
        </w:rPr>
        <w:t xml:space="preserve">JBJ16-2000 </w:t>
      </w:r>
      <w:r>
        <w:rPr>
          <w:rFonts w:hint="eastAsia" w:ascii="宋体" w:hAnsi="宋体" w:eastAsia="宋体" w:cs="宋体"/>
          <w:sz w:val="24"/>
          <w:szCs w:val="24"/>
        </w:rPr>
        <w:t>《机械工业环境保护设计规范》</w:t>
      </w:r>
    </w:p>
    <w:p>
      <w:pPr>
        <w:spacing w:line="360" w:lineRule="auto"/>
        <w:ind w:firstLine="482"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四、货物需求一览表</w:t>
      </w:r>
    </w:p>
    <w:p>
      <w:pPr>
        <w:spacing w:line="360" w:lineRule="auto"/>
        <w:ind w:firstLine="361" w:firstLineChars="150"/>
        <w:rPr>
          <w:rFonts w:hint="eastAsia" w:ascii="宋体" w:hAnsi="宋体" w:eastAsia="宋体" w:cs="宋体"/>
          <w:b/>
          <w:sz w:val="24"/>
          <w:szCs w:val="24"/>
        </w:rPr>
      </w:pPr>
    </w:p>
    <w:tbl>
      <w:tblPr>
        <w:tblStyle w:val="36"/>
        <w:tblW w:w="9776" w:type="dxa"/>
        <w:tblInd w:w="0" w:type="dxa"/>
        <w:tblLayout w:type="fixed"/>
        <w:tblCellMar>
          <w:top w:w="0" w:type="dxa"/>
          <w:left w:w="108" w:type="dxa"/>
          <w:bottom w:w="0" w:type="dxa"/>
          <w:right w:w="108" w:type="dxa"/>
        </w:tblCellMar>
      </w:tblPr>
      <w:tblGrid>
        <w:gridCol w:w="506"/>
        <w:gridCol w:w="763"/>
        <w:gridCol w:w="1325"/>
        <w:gridCol w:w="986"/>
        <w:gridCol w:w="2050"/>
        <w:gridCol w:w="4146"/>
      </w:tblGrid>
      <w:tr>
        <w:tblPrEx>
          <w:tblCellMar>
            <w:top w:w="0" w:type="dxa"/>
            <w:left w:w="108" w:type="dxa"/>
            <w:bottom w:w="0" w:type="dxa"/>
            <w:right w:w="108" w:type="dxa"/>
          </w:tblCellMar>
        </w:tblPrEx>
        <w:trPr>
          <w:trHeight w:val="680" w:hRule="exact"/>
        </w:trPr>
        <w:tc>
          <w:tcPr>
            <w:tcW w:w="977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轻卡焊装线KD改造项目设备清单</w:t>
            </w:r>
          </w:p>
        </w:tc>
      </w:tr>
      <w:tr>
        <w:tblPrEx>
          <w:tblCellMar>
            <w:top w:w="0" w:type="dxa"/>
            <w:left w:w="108" w:type="dxa"/>
            <w:bottom w:w="0" w:type="dxa"/>
            <w:right w:w="108" w:type="dxa"/>
          </w:tblCellMar>
        </w:tblPrEx>
        <w:trPr>
          <w:trHeight w:val="680" w:hRule="exact"/>
        </w:trPr>
        <w:tc>
          <w:tcPr>
            <w:tcW w:w="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76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区域</w:t>
            </w: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设备名称</w:t>
            </w:r>
          </w:p>
        </w:tc>
        <w:tc>
          <w:tcPr>
            <w:tcW w:w="9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20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新增/改造</w:t>
            </w:r>
          </w:p>
        </w:tc>
        <w:tc>
          <w:tcPr>
            <w:tcW w:w="41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6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地板总成</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吊具</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0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新增/</w:t>
            </w:r>
            <w:r>
              <w:rPr>
                <w:rFonts w:hint="eastAsia" w:ascii="宋体" w:hAnsi="宋体" w:eastAsia="宋体" w:cs="宋体"/>
                <w:sz w:val="24"/>
                <w:szCs w:val="24"/>
                <w:lang w:val="en-US" w:eastAsia="zh-CN"/>
              </w:rPr>
              <w:t>改造</w:t>
            </w:r>
          </w:p>
        </w:tc>
        <w:tc>
          <w:tcPr>
            <w:tcW w:w="4146"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修车线尾吊具新增/</w:t>
            </w:r>
            <w:r>
              <w:rPr>
                <w:rFonts w:hint="eastAsia" w:ascii="宋体" w:hAnsi="宋体" w:eastAsia="宋体" w:cs="宋体"/>
                <w:sz w:val="24"/>
                <w:szCs w:val="24"/>
                <w:lang w:val="en-US" w:eastAsia="zh-CN"/>
              </w:rPr>
              <w:t>Pickup吊具硬件改造</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63" w:type="dxa"/>
            <w:vMerge w:val="restart"/>
            <w:tcBorders>
              <w:top w:val="nil"/>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前围总成</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下件台</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414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新增前围总成下件台，全车型共用</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围栏</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改造</w:t>
            </w:r>
          </w:p>
        </w:tc>
        <w:tc>
          <w:tcPr>
            <w:tcW w:w="4146"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拆除部分围栏，改造为前围总成下件口，约2米围栏</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63"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ALL</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方案、仿真设计</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414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现场安装调试</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414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运输及现场管理</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414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bl>
    <w:p>
      <w:pPr>
        <w:spacing w:line="360" w:lineRule="auto"/>
        <w:ind w:firstLine="361" w:firstLineChars="150"/>
        <w:rPr>
          <w:rFonts w:hint="eastAsia" w:ascii="宋体" w:hAnsi="宋体" w:eastAsia="宋体" w:cs="宋体"/>
          <w:b/>
          <w:sz w:val="24"/>
          <w:szCs w:val="24"/>
        </w:rPr>
      </w:pPr>
    </w:p>
    <w:p>
      <w:pPr>
        <w:pStyle w:val="131"/>
        <w:numPr>
          <w:ilvl w:val="0"/>
          <w:numId w:val="27"/>
        </w:numPr>
        <w:spacing w:line="360" w:lineRule="auto"/>
        <w:ind w:firstLineChars="0"/>
        <w:rPr>
          <w:rFonts w:hint="eastAsia" w:ascii="宋体" w:hAnsi="宋体" w:eastAsia="宋体" w:cs="宋体"/>
          <w:b/>
          <w:sz w:val="24"/>
          <w:szCs w:val="24"/>
        </w:rPr>
      </w:pPr>
      <w:r>
        <w:rPr>
          <w:rFonts w:hint="eastAsia" w:ascii="宋体" w:hAnsi="宋体" w:eastAsia="宋体" w:cs="宋体"/>
          <w:b/>
          <w:sz w:val="24"/>
          <w:szCs w:val="24"/>
        </w:rPr>
        <w:t>技术规范</w:t>
      </w:r>
    </w:p>
    <w:p>
      <w:pPr>
        <w:spacing w:line="360" w:lineRule="auto"/>
        <w:ind w:firstLine="424" w:firstLineChars="177"/>
        <w:rPr>
          <w:rFonts w:hint="eastAsia" w:ascii="黑体" w:hAnsi="黑体" w:eastAsia="黑体" w:cs="宋体"/>
          <w:b/>
          <w:sz w:val="24"/>
          <w:szCs w:val="24"/>
        </w:rPr>
      </w:pPr>
      <w:r>
        <w:rPr>
          <w:rFonts w:hint="eastAsia" w:ascii="黑体" w:hAnsi="黑体" w:eastAsia="黑体" w:cs="宋体"/>
          <w:sz w:val="24"/>
          <w:szCs w:val="24"/>
          <w:lang w:val="en-US" w:eastAsia="zh-CN"/>
        </w:rPr>
        <w:t>1、</w:t>
      </w:r>
      <w:r>
        <w:rPr>
          <w:rFonts w:hint="eastAsia" w:ascii="黑体" w:hAnsi="黑体" w:eastAsia="黑体" w:cs="宋体"/>
          <w:sz w:val="24"/>
          <w:szCs w:val="24"/>
        </w:rPr>
        <w:t>工艺描述</w:t>
      </w:r>
    </w:p>
    <w:p>
      <w:pPr>
        <w:tabs>
          <w:tab w:val="left" w:pos="420"/>
        </w:tabs>
        <w:spacing w:line="360" w:lineRule="auto"/>
        <w:ind w:firstLine="424" w:firstLineChars="177"/>
        <w:jc w:val="left"/>
        <w:rPr>
          <w:rFonts w:hint="eastAsia" w:ascii="黑体" w:hAnsi="黑体" w:eastAsia="黑体" w:cs="宋体"/>
          <w:color w:val="000000"/>
          <w:sz w:val="24"/>
          <w:szCs w:val="24"/>
          <w:highlight w:val="yellow"/>
          <w:lang w:val="en-US" w:eastAsia="zh-CN"/>
        </w:rPr>
      </w:pPr>
      <w:r>
        <w:rPr>
          <w:rFonts w:hint="eastAsia" w:ascii="黑体" w:hAnsi="黑体" w:eastAsia="黑体" w:cs="宋体"/>
          <w:color w:val="000000"/>
          <w:sz w:val="24"/>
          <w:szCs w:val="24"/>
          <w:highlight w:val="yellow"/>
          <w:lang w:val="en-US" w:eastAsia="zh-CN"/>
        </w:rPr>
        <w:t>1.1地板KD总成件生产及下线：</w:t>
      </w:r>
    </w:p>
    <w:p>
      <w:pPr>
        <w:pStyle w:val="157"/>
        <w:tabs>
          <w:tab w:val="left" w:pos="420"/>
        </w:tabs>
        <w:spacing w:line="360" w:lineRule="auto"/>
        <w:ind w:firstLine="424" w:firstLineChars="177"/>
        <w:jc w:val="left"/>
        <w:rPr>
          <w:rFonts w:hint="default" w:ascii="宋体" w:hAnsi="宋体" w:eastAsia="宋体" w:cs="宋体"/>
          <w:sz w:val="24"/>
          <w:highlight w:val="yellow"/>
          <w:lang w:val="en-US" w:eastAsia="zh-CN"/>
        </w:rPr>
      </w:pPr>
      <w:r>
        <w:rPr>
          <w:rFonts w:hint="eastAsia" w:ascii="宋体" w:hAnsi="宋体" w:eastAsia="宋体" w:cs="宋体"/>
          <w:sz w:val="24"/>
          <w:highlight w:val="yellow"/>
          <w:lang w:val="en-US" w:eastAsia="zh-CN"/>
        </w:rPr>
        <w:t>调试合拼区域部分程序，屏蔽FR10/20/30/40/50焊点，人工将地板KD总成件用吊具转运出线体。现在线体内主线区域产品输送采取Flextrack小车模式。</w:t>
      </w:r>
    </w:p>
    <w:p>
      <w:pPr>
        <w:pStyle w:val="131"/>
        <w:rPr>
          <w:rFonts w:hint="eastAsia" w:ascii="宋体" w:hAnsi="宋体" w:eastAsia="宋体" w:cs="宋体"/>
          <w:sz w:val="24"/>
          <w:highlight w:val="yellow"/>
          <w:lang w:val="en-US" w:eastAsia="zh-CN"/>
        </w:rPr>
      </w:pPr>
      <w:r>
        <w:rPr>
          <w:rFonts w:hint="eastAsia" w:ascii="宋体" w:hAnsi="宋体" w:eastAsia="宋体" w:cs="宋体"/>
          <w:sz w:val="24"/>
          <w:highlight w:val="yellow"/>
          <w:lang w:val="en-US" w:eastAsia="zh-CN"/>
        </w:rPr>
        <w:t>工艺流程描述如下：</w:t>
      </w:r>
    </w:p>
    <w:p>
      <w:pPr>
        <w:pStyle w:val="131"/>
        <w:rPr>
          <w:rFonts w:hint="default"/>
          <w:lang w:val="en-US" w:eastAsia="zh-CN"/>
        </w:rPr>
      </w:pPr>
      <w:r>
        <w:rPr>
          <w:rFonts w:hint="eastAsia" w:ascii="宋体" w:hAnsi="宋体" w:eastAsia="宋体" w:cs="宋体"/>
          <w:sz w:val="24"/>
          <w:highlight w:val="yellow"/>
          <w:lang w:val="en-US" w:eastAsia="zh-CN"/>
        </w:rPr>
        <w:t>地板骨架装配→地板骨架总成组焊→中地板装配/前地板装配→地板下部分总成焊接→地板下部分总成补焊→→左/右下立柱装配→地板下部总成焊接→地板下部总成补焊→纵梁弧焊→落装及补焊→修车线尾下线</w:t>
      </w:r>
    </w:p>
    <w:p>
      <w:pPr>
        <w:tabs>
          <w:tab w:val="left" w:pos="420"/>
        </w:tabs>
        <w:spacing w:line="360" w:lineRule="auto"/>
        <w:ind w:firstLine="424" w:firstLineChars="177"/>
        <w:jc w:val="left"/>
        <w:rPr>
          <w:rFonts w:hint="default" w:ascii="黑体" w:hAnsi="黑体" w:eastAsia="黑体" w:cs="宋体"/>
          <w:sz w:val="24"/>
          <w:szCs w:val="24"/>
          <w:highlight w:val="yellow"/>
          <w:lang w:val="en-US" w:eastAsia="zh-CN"/>
        </w:rPr>
      </w:pPr>
      <w:r>
        <w:rPr>
          <w:rFonts w:hint="eastAsia" w:ascii="黑体" w:hAnsi="黑体" w:eastAsia="黑体" w:cs="宋体"/>
          <w:color w:val="000000"/>
          <w:sz w:val="24"/>
          <w:szCs w:val="24"/>
          <w:highlight w:val="yellow"/>
          <w:lang w:val="en-US" w:eastAsia="zh-CN"/>
        </w:rPr>
        <w:t>1.2</w:t>
      </w:r>
      <w:r>
        <w:rPr>
          <w:rFonts w:hint="eastAsia" w:ascii="黑体" w:hAnsi="黑体" w:eastAsia="黑体" w:cs="宋体"/>
          <w:color w:val="000000"/>
          <w:sz w:val="24"/>
          <w:szCs w:val="24"/>
          <w:highlight w:val="yellow"/>
        </w:rPr>
        <w:t>前围</w:t>
      </w:r>
      <w:r>
        <w:rPr>
          <w:rFonts w:hint="eastAsia" w:ascii="黑体" w:hAnsi="黑体" w:eastAsia="黑体" w:cs="宋体"/>
          <w:color w:val="000000"/>
          <w:sz w:val="24"/>
          <w:szCs w:val="24"/>
          <w:highlight w:val="yellow"/>
          <w:lang w:val="en-US" w:eastAsia="zh-CN"/>
        </w:rPr>
        <w:t>KD</w:t>
      </w:r>
      <w:r>
        <w:rPr>
          <w:rFonts w:hint="eastAsia" w:ascii="黑体" w:hAnsi="黑体" w:eastAsia="黑体" w:cs="宋体"/>
          <w:color w:val="000000"/>
          <w:sz w:val="24"/>
          <w:szCs w:val="24"/>
          <w:highlight w:val="yellow"/>
        </w:rPr>
        <w:t>总成</w:t>
      </w:r>
      <w:r>
        <w:rPr>
          <w:rFonts w:hint="eastAsia" w:ascii="黑体" w:hAnsi="黑体" w:eastAsia="黑体" w:cs="宋体"/>
          <w:color w:val="000000"/>
          <w:sz w:val="24"/>
          <w:szCs w:val="24"/>
          <w:highlight w:val="yellow"/>
          <w:lang w:val="en-US" w:eastAsia="zh-CN"/>
        </w:rPr>
        <w:t>件生产及下线：</w:t>
      </w:r>
    </w:p>
    <w:p>
      <w:pPr>
        <w:pStyle w:val="157"/>
        <w:tabs>
          <w:tab w:val="left" w:pos="420"/>
        </w:tabs>
        <w:spacing w:line="360" w:lineRule="auto"/>
        <w:ind w:firstLine="424" w:firstLineChars="177"/>
        <w:jc w:val="left"/>
        <w:rPr>
          <w:rFonts w:hint="eastAsia" w:ascii="宋体" w:hAnsi="宋体" w:eastAsia="宋体" w:cs="宋体"/>
          <w:sz w:val="24"/>
          <w:highlight w:val="yellow"/>
          <w:lang w:val="en-US" w:eastAsia="zh-CN"/>
        </w:rPr>
      </w:pPr>
      <w:r>
        <w:rPr>
          <w:rFonts w:hint="eastAsia" w:ascii="宋体" w:hAnsi="宋体" w:eastAsia="宋体" w:cs="宋体"/>
          <w:sz w:val="24"/>
          <w:highlight w:val="yellow"/>
          <w:lang w:val="en-US" w:eastAsia="zh-CN"/>
        </w:rPr>
        <w:t>新增前围总成下件台，并改造部分围栏形成下件口，调试前围区域部分程序，前围KD总成件焊接完成后自动抓放至下件台，人工下件。</w:t>
      </w:r>
    </w:p>
    <w:p>
      <w:pPr>
        <w:tabs>
          <w:tab w:val="left" w:pos="420"/>
        </w:tabs>
        <w:spacing w:line="360" w:lineRule="auto"/>
        <w:ind w:firstLine="424" w:firstLineChars="177"/>
        <w:jc w:val="left"/>
        <w:rPr>
          <w:rFonts w:hint="default" w:ascii="黑体" w:hAnsi="黑体" w:eastAsia="黑体" w:cs="宋体"/>
          <w:sz w:val="24"/>
          <w:szCs w:val="24"/>
          <w:highlight w:val="yellow"/>
          <w:lang w:val="en-US" w:eastAsia="zh-CN"/>
        </w:rPr>
      </w:pPr>
      <w:r>
        <w:rPr>
          <w:rFonts w:hint="eastAsia" w:ascii="黑体" w:hAnsi="黑体" w:eastAsia="黑体" w:cs="宋体"/>
          <w:color w:val="000000"/>
          <w:sz w:val="24"/>
          <w:szCs w:val="24"/>
          <w:highlight w:val="yellow"/>
          <w:lang w:val="en-US" w:eastAsia="zh-CN"/>
        </w:rPr>
        <w:t>1.3后围KD</w:t>
      </w:r>
      <w:r>
        <w:rPr>
          <w:rFonts w:hint="eastAsia" w:ascii="黑体" w:hAnsi="黑体" w:eastAsia="黑体" w:cs="宋体"/>
          <w:color w:val="000000"/>
          <w:sz w:val="24"/>
          <w:szCs w:val="24"/>
          <w:highlight w:val="yellow"/>
        </w:rPr>
        <w:t>总成</w:t>
      </w:r>
      <w:r>
        <w:rPr>
          <w:rFonts w:hint="eastAsia" w:ascii="黑体" w:hAnsi="黑体" w:eastAsia="黑体" w:cs="宋体"/>
          <w:color w:val="000000"/>
          <w:sz w:val="24"/>
          <w:szCs w:val="24"/>
          <w:highlight w:val="yellow"/>
          <w:lang w:val="en-US" w:eastAsia="zh-CN"/>
        </w:rPr>
        <w:t>件生产及下线：</w:t>
      </w:r>
    </w:p>
    <w:p>
      <w:pPr>
        <w:pStyle w:val="157"/>
        <w:tabs>
          <w:tab w:val="left" w:pos="420"/>
        </w:tabs>
        <w:spacing w:line="360" w:lineRule="auto"/>
        <w:ind w:firstLine="424" w:firstLineChars="177"/>
        <w:jc w:val="left"/>
        <w:rPr>
          <w:rFonts w:hint="default" w:ascii="宋体" w:hAnsi="宋体" w:eastAsia="宋体" w:cs="宋体"/>
          <w:sz w:val="24"/>
          <w:highlight w:val="yellow"/>
          <w:lang w:val="en-US"/>
        </w:rPr>
      </w:pPr>
      <w:r>
        <w:rPr>
          <w:rFonts w:hint="eastAsia" w:ascii="宋体" w:hAnsi="宋体" w:eastAsia="宋体" w:cs="宋体"/>
          <w:sz w:val="24"/>
          <w:highlight w:val="yellow"/>
          <w:lang w:val="en-US" w:eastAsia="zh-CN"/>
        </w:rPr>
        <w:t>调试后围区域部分程序，后围KD总成件焊接完成后抓放至上件工装并转出，人工下件。</w:t>
      </w:r>
    </w:p>
    <w:p>
      <w:pPr>
        <w:spacing w:line="360" w:lineRule="auto"/>
        <w:ind w:firstLine="480" w:firstLineChars="200"/>
        <w:jc w:val="left"/>
        <w:rPr>
          <w:rFonts w:hint="eastAsia" w:ascii="黑体" w:hAnsi="黑体" w:eastAsia="黑体" w:cs="宋体"/>
          <w:sz w:val="24"/>
          <w:szCs w:val="24"/>
        </w:rPr>
      </w:pPr>
      <w:r>
        <w:rPr>
          <w:rFonts w:hint="eastAsia" w:ascii="黑体" w:hAnsi="黑体" w:eastAsia="黑体" w:cs="宋体"/>
          <w:sz w:val="24"/>
          <w:szCs w:val="24"/>
          <w:lang w:val="en-US" w:eastAsia="zh-CN"/>
        </w:rPr>
        <w:t>1.4</w:t>
      </w:r>
      <w:r>
        <w:rPr>
          <w:rFonts w:hint="eastAsia" w:ascii="黑体" w:hAnsi="黑体" w:eastAsia="黑体" w:cs="宋体"/>
          <w:sz w:val="24"/>
          <w:szCs w:val="24"/>
        </w:rPr>
        <w:t>总体技术要求</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rPr>
        <w:t>改造</w:t>
      </w:r>
      <w:r>
        <w:rPr>
          <w:rFonts w:hint="eastAsia" w:ascii="宋体" w:hAnsi="宋体" w:eastAsia="宋体" w:cs="宋体"/>
          <w:color w:val="000000"/>
          <w:sz w:val="24"/>
          <w:szCs w:val="24"/>
          <w:highlight w:val="yellow"/>
          <w:lang w:val="en-US" w:eastAsia="zh-CN"/>
        </w:rPr>
        <w:t>轻卡焊装线</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线体原有驾驶室总成节拍要求≤2.2min,保持改造前的节拍不变</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地板KD改造工艺节拍要求≤6min，前围KD改造工艺节拍要求≤3min，后围KD改造工艺节拍要求≤3min。</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投标方应认识到生产节拍是一项十分重要的技术指标，投标方应以三维仿真模拟来描述和表达生产节拍的实现（三维仿真模拟仅作为生产节拍的一个参考，不作为生产节拍判定的依据）。</w:t>
      </w:r>
    </w:p>
    <w:p>
      <w:pPr>
        <w:pStyle w:val="131"/>
        <w:keepNext w:val="0"/>
        <w:keepLines w:val="0"/>
        <w:pageBreakBefore w:val="0"/>
        <w:widowControl w:val="0"/>
        <w:tabs>
          <w:tab w:val="left" w:pos="420"/>
        </w:tabs>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一个完整的节拍包含：启动→工作→工作结束→传输→回位→等待再次启动</w:t>
      </w:r>
      <w:r>
        <w:rPr>
          <w:rFonts w:hint="eastAsia" w:ascii="宋体" w:hAnsi="宋体" w:eastAsia="宋体" w:cs="宋体"/>
          <w:color w:val="000000"/>
          <w:sz w:val="24"/>
          <w:szCs w:val="24"/>
          <w:lang w:eastAsia="zh-CN"/>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bookmarkStart w:id="31" w:name="_Toc340913564"/>
      <w:r>
        <w:rPr>
          <w:rFonts w:hint="eastAsia" w:ascii="宋体" w:hAnsi="宋体" w:eastAsia="宋体" w:cs="宋体"/>
          <w:color w:val="000000"/>
          <w:sz w:val="24"/>
          <w:szCs w:val="24"/>
        </w:rPr>
        <w:t>产品</w:t>
      </w:r>
      <w:bookmarkEnd w:id="31"/>
      <w:r>
        <w:rPr>
          <w:rFonts w:hint="eastAsia" w:ascii="宋体" w:hAnsi="宋体" w:eastAsia="宋体" w:cs="宋体"/>
          <w:color w:val="000000"/>
          <w:sz w:val="24"/>
          <w:szCs w:val="24"/>
        </w:rPr>
        <w:t>质量标准</w:t>
      </w:r>
    </w:p>
    <w:p>
      <w:pPr>
        <w:pStyle w:val="131"/>
        <w:widowControl/>
        <w:spacing w:line="360" w:lineRule="auto"/>
        <w:ind w:firstLine="0" w:firstLineChars="0"/>
        <w:contextualSpacing/>
        <w:jc w:val="center"/>
        <w:rPr>
          <w:rFonts w:hint="eastAsia" w:ascii="宋体" w:hAnsi="宋体" w:eastAsia="宋体" w:cs="宋体"/>
          <w:color w:val="000000"/>
          <w:sz w:val="24"/>
          <w:szCs w:val="24"/>
        </w:rPr>
      </w:pPr>
      <w:r>
        <w:rPr>
          <w:rFonts w:hint="eastAsia" w:ascii="宋体" w:hAnsi="宋体" w:eastAsia="宋体" w:cs="宋体"/>
          <w:color w:val="000000"/>
          <w:sz w:val="24"/>
          <w:szCs w:val="24"/>
        </w:rPr>
        <w:t>焊接质量标准</w:t>
      </w:r>
    </w:p>
    <w:tbl>
      <w:tblPr>
        <w:tblStyle w:val="36"/>
        <w:tblW w:w="932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204"/>
        <w:gridCol w:w="1750"/>
        <w:gridCol w:w="5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70"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No.</w:t>
            </w:r>
          </w:p>
        </w:tc>
        <w:tc>
          <w:tcPr>
            <w:tcW w:w="1204"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标准名称</w:t>
            </w:r>
          </w:p>
        </w:tc>
        <w:tc>
          <w:tcPr>
            <w:tcW w:w="1750"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标准</w:t>
            </w:r>
          </w:p>
        </w:tc>
        <w:tc>
          <w:tcPr>
            <w:tcW w:w="5703" w:type="dxa"/>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70"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204"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点焊质量</w:t>
            </w:r>
          </w:p>
        </w:tc>
        <w:tc>
          <w:tcPr>
            <w:tcW w:w="1750"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Q/ZZ30025点焊技术条件</w:t>
            </w:r>
          </w:p>
        </w:tc>
        <w:tc>
          <w:tcPr>
            <w:tcW w:w="5703" w:type="dxa"/>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标准中焊点数量及位置要求与数模文件冲突时，以数模文件为准；</w:t>
            </w:r>
          </w:p>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凡招标方数模中焊点未明确的，由投标方提出焊点数量和焊点间距招标方确认，涉及到自动化焊接的投标方需在开标前提出，招标方给予明确。</w:t>
            </w:r>
          </w:p>
        </w:tc>
      </w:tr>
    </w:tbl>
    <w:p>
      <w:pPr>
        <w:pStyle w:val="131"/>
        <w:widowControl/>
        <w:spacing w:line="360" w:lineRule="auto"/>
        <w:ind w:firstLine="0" w:firstLineChars="0"/>
        <w:contextualSpacing/>
        <w:rPr>
          <w:rFonts w:hint="eastAsia" w:ascii="宋体" w:hAnsi="宋体" w:eastAsia="宋体" w:cs="宋体"/>
          <w:b/>
          <w:bCs/>
          <w:sz w:val="24"/>
          <w:szCs w:val="24"/>
        </w:rPr>
      </w:pP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未作规定的与产品质量有关联的工装公差由投标方提出经招标方认可后执行。产品线改造后现有轻卡各项质量标准不得低于改造前的状态。</w:t>
      </w:r>
    </w:p>
    <w:p>
      <w:pPr>
        <w:spacing w:line="360" w:lineRule="auto"/>
        <w:ind w:firstLine="424" w:firstLineChars="177"/>
        <w:rPr>
          <w:rFonts w:hint="eastAsia" w:ascii="黑体" w:hAnsi="黑体" w:eastAsia="黑体" w:cs="宋体"/>
          <w:sz w:val="24"/>
          <w:szCs w:val="24"/>
          <w:lang w:val="en-US" w:eastAsia="zh-CN"/>
        </w:rPr>
      </w:pPr>
      <w:r>
        <w:rPr>
          <w:rFonts w:hint="eastAsia" w:ascii="黑体" w:hAnsi="黑体" w:eastAsia="黑体" w:cs="宋体"/>
          <w:sz w:val="24"/>
          <w:szCs w:val="24"/>
          <w:lang w:val="en-US" w:eastAsia="zh-CN"/>
        </w:rPr>
        <w:t>2、技术资料</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投标方须在项目不同阶段向招标方提供项目资料，各阶段需提供资料如下表所示：</w:t>
      </w:r>
    </w:p>
    <w:tbl>
      <w:tblPr>
        <w:tblStyle w:val="36"/>
        <w:tblW w:w="5549" w:type="pct"/>
        <w:jc w:val="center"/>
        <w:tblLayout w:type="autofit"/>
        <w:tblCellMar>
          <w:top w:w="0" w:type="dxa"/>
          <w:left w:w="108" w:type="dxa"/>
          <w:bottom w:w="0" w:type="dxa"/>
          <w:right w:w="108" w:type="dxa"/>
        </w:tblCellMar>
      </w:tblPr>
      <w:tblGrid>
        <w:gridCol w:w="703"/>
        <w:gridCol w:w="3375"/>
        <w:gridCol w:w="1349"/>
        <w:gridCol w:w="2118"/>
        <w:gridCol w:w="2761"/>
      </w:tblGrid>
      <w:tr>
        <w:tblPrEx>
          <w:tblCellMar>
            <w:top w:w="0" w:type="dxa"/>
            <w:left w:w="108" w:type="dxa"/>
            <w:bottom w:w="0" w:type="dxa"/>
            <w:right w:w="108" w:type="dxa"/>
          </w:tblCellMar>
        </w:tblPrEx>
        <w:trPr>
          <w:cantSplit/>
          <w:trHeight w:val="312"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序号</w:t>
            </w:r>
          </w:p>
        </w:tc>
        <w:tc>
          <w:tcPr>
            <w:tcW w:w="1637"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资料名称</w:t>
            </w:r>
          </w:p>
        </w:tc>
        <w:tc>
          <w:tcPr>
            <w:tcW w:w="654"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设计审查</w:t>
            </w:r>
          </w:p>
        </w:tc>
        <w:tc>
          <w:tcPr>
            <w:tcW w:w="102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终验收</w:t>
            </w:r>
          </w:p>
        </w:tc>
        <w:tc>
          <w:tcPr>
            <w:tcW w:w="1339"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备注</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焊接生产线详细平面布局图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焊接生产线水电气布置图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90"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设备安装基础图（地基图）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焊枪位置图（挂枪图）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焊接生产线人员分布图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水电气能耗表</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工艺设备清单</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生产线人员配置表</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焊枪式样图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夹具方案书（含 3D 数据）</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工位焊点信息图（3D）</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PLC及HMI范例程序</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13</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焊接工艺卡片</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14</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工位节拍明细（时序图）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624"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易损件及备件明细、图纸（含夹具易损备件）</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16</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标准件手册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17</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各专项设备操作使用手册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检查维修手册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19</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电气原理图（含逻辑电路图）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气路原理图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传动系统图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22</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电气接线图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23</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PLC 及 HMI 标准程序</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24</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PC 机梯形图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25</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外购件明细表</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26</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设备编程手册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27</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系统软件</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28</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夹具检测报告</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29</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各设备检验合格证</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定位销及定位面硬度报告</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最终版仿真数据</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32</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机器人离线程序</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33</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焊枪图纸（2D+3D）</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624"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34</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生产线夹具3D图（CATIA可编辑格式）和2D图（DWG）</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35</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备品、备件清单、图纸（2D+3D）</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36</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所有定位销图纸资料(2D CAD和3D)</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37</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电气元件汇总表</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38</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元器件样本、图册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39</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润滑油类型及材料属性资料</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夹具调试记录单</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工艺参数调试记录单</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bl>
    <w:p>
      <w:pPr>
        <w:spacing w:line="360" w:lineRule="auto"/>
        <w:ind w:firstLine="420"/>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注：</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投标方应在项目各阶段，按照招标方要求的格式和内容提供相应文件。</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根据验收要求，在设备有改动时，投标方要提供更新的技术文件。</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所有文件都要配备中文。</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为保证现场验收满足招标方的要求，投标方应提交所有其提供设备的有关文件，由另一家公司提供的文件必须提交原件，不允许提供复印件，投标方丢失的任何文件必须免费补上。</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图纸交付文件格式：CATIA V5R20（可编辑）、AUTOCAD2008、PDF格式。</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终验收时提交的电子文档应包含设计审查和预验收阶段提交的文件。</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项目各阶段所需的电子资料以U盘形式提交。</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投标方采购的设备，相关资料文件由投标方负责收集。</w:t>
      </w:r>
    </w:p>
    <w:p>
      <w:pPr>
        <w:widowControl/>
        <w:jc w:val="left"/>
        <w:rPr>
          <w:rFonts w:hint="eastAsia" w:ascii="宋体" w:hAnsi="宋体" w:eastAsia="等线" w:cs="Times New Roman"/>
          <w:b/>
          <w:sz w:val="28"/>
          <w:szCs w:val="24"/>
          <w:lang w:val="en-GB"/>
        </w:rPr>
      </w:pPr>
    </w:p>
    <w:p>
      <w:pPr>
        <w:keepNext/>
        <w:keepLines/>
        <w:spacing w:before="120" w:after="120" w:line="360" w:lineRule="auto"/>
        <w:jc w:val="center"/>
        <w:outlineLvl w:val="0"/>
        <w:rPr>
          <w:rFonts w:hint="eastAsia" w:ascii="宋体" w:hAnsi="宋体" w:eastAsia="等线" w:cs="宋体"/>
          <w:kern w:val="44"/>
          <w:sz w:val="28"/>
          <w:szCs w:val="28"/>
          <w:lang w:val="en-GB"/>
        </w:rPr>
      </w:pPr>
      <w:r>
        <w:rPr>
          <w:rFonts w:hint="eastAsia" w:ascii="宋体" w:hAnsi="宋体" w:eastAsia="等线" w:cs="宋体"/>
          <w:kern w:val="44"/>
          <w:sz w:val="28"/>
          <w:szCs w:val="28"/>
          <w:lang w:val="en-GB"/>
        </w:rPr>
        <w:t>第三章  供货范围及供货方式</w:t>
      </w:r>
    </w:p>
    <w:p>
      <w:pPr>
        <w:keepNext/>
        <w:keepLines/>
        <w:spacing w:before="120" w:after="120" w:line="360" w:lineRule="auto"/>
        <w:jc w:val="center"/>
        <w:outlineLvl w:val="1"/>
        <w:rPr>
          <w:rFonts w:hint="eastAsia" w:ascii="宋体" w:hAnsi="宋体" w:eastAsia="宋体" w:cs="Times New Roman"/>
          <w:sz w:val="24"/>
          <w:szCs w:val="24"/>
        </w:rPr>
      </w:pPr>
      <w:r>
        <w:rPr>
          <w:rFonts w:hint="eastAsia" w:ascii="宋体" w:hAnsi="宋体" w:eastAsia="宋体" w:cs="Times New Roman"/>
          <w:sz w:val="24"/>
          <w:szCs w:val="24"/>
        </w:rPr>
        <w:t>第一节</w:t>
      </w:r>
      <w:r>
        <w:rPr>
          <w:rFonts w:ascii="宋体" w:hAnsi="宋体" w:eastAsia="宋体" w:cs="Times New Roman"/>
          <w:sz w:val="24"/>
          <w:szCs w:val="24"/>
        </w:rPr>
        <w:t xml:space="preserve">  </w:t>
      </w:r>
      <w:r>
        <w:rPr>
          <w:rFonts w:hint="eastAsia" w:ascii="宋体" w:hAnsi="宋体" w:eastAsia="宋体" w:cs="Times New Roman"/>
          <w:sz w:val="24"/>
          <w:szCs w:val="24"/>
        </w:rPr>
        <w:t>供货范围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一、供货范围</w:t>
      </w:r>
    </w:p>
    <w:p>
      <w:pPr>
        <w:spacing w:line="360"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、包括本技术标书所列明的主要货物及货物正常运行所必需的全套连线设备、材料等，如货物端联接法兰外端面之内的、电气系统接口压线板（插座等）之内的设备、材料、联接螺栓、垫片等。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、包括货物维护维修所必需的专用工具。</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、招标方提供货物所需的建筑物（如厂房等）和构筑物（如混凝土池、砼基础等），包含正常安装施工所需的预埋件（如穿管、预埋螺栓、螺母及垫片）。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招标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、以“交钥匙”方式采购的货物，在满足技术标书本节上述要求之外，同时包括货物正常运行、使用所需要的过桥、护栏、防护网、盖板等辅助设施。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、备品备件、易损件和专用耗材是招标方为保证货物质保期之后正常运行一年所自备自用的备品备件、易损件和专用耗材。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、在合同签订后</w:t>
      </w:r>
      <w:r>
        <w:rPr>
          <w:rFonts w:ascii="宋体" w:hAnsi="宋体" w:eastAsia="宋体" w:cs="宋体"/>
          <w:sz w:val="24"/>
          <w:szCs w:val="24"/>
          <w:u w:val="single"/>
          <w:shd w:val="pct10" w:color="auto" w:fill="FFFFFF"/>
        </w:rPr>
        <w:t xml:space="preserve">30 </w:t>
      </w:r>
      <w:r>
        <w:rPr>
          <w:rFonts w:hint="eastAsia" w:ascii="宋体" w:hAnsi="宋体" w:eastAsia="宋体" w:cs="宋体"/>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、在终验收前，提供确定的维修所需要且招标方可以自行采购的外购件、外协件、电气元件及主要原材料的供货厂家明细表。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、在终验收后、终验收后的第一笔货款支付日之前，提供包括货物的备品备件、易损件和专用耗材的图纸及技术参数、技术要求等资料。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、本条款所列的技术资料、图片、影像等，投标方应各提供</w:t>
      </w:r>
      <w:r>
        <w:rPr>
          <w:rFonts w:ascii="宋体" w:hAnsi="宋体" w:eastAsia="宋体" w:cs="宋体"/>
          <w:sz w:val="24"/>
          <w:szCs w:val="24"/>
        </w:rPr>
        <w:t>5</w:t>
      </w:r>
      <w:r>
        <w:rPr>
          <w:rFonts w:hint="eastAsia" w:ascii="宋体" w:hAnsi="宋体" w:eastAsia="宋体" w:cs="宋体"/>
          <w:sz w:val="24"/>
          <w:szCs w:val="24"/>
        </w:rPr>
        <w:t>套，其中</w:t>
      </w:r>
      <w:r>
        <w:rPr>
          <w:rFonts w:ascii="宋体" w:hAnsi="宋体" w:eastAsia="宋体" w:cs="宋体"/>
          <w:sz w:val="24"/>
          <w:szCs w:val="24"/>
        </w:rPr>
        <w:t>2</w:t>
      </w:r>
      <w:r>
        <w:rPr>
          <w:rFonts w:hint="eastAsia" w:ascii="宋体" w:hAnsi="宋体" w:eastAsia="宋体" w:cs="宋体"/>
          <w:sz w:val="24"/>
          <w:szCs w:val="24"/>
        </w:rPr>
        <w:t>套为电子版光（软）盘；每份技术文件应装有目录清单。</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、本条款所列要求，如招标方认为投标方提供的资料不能满足要求时，有权要求投标方免费补充或增加。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pPr>
        <w:rPr>
          <w:rFonts w:hint="eastAsia" w:ascii="宋体" w:hAnsi="宋体" w:eastAsia="宋体" w:cs="宋体"/>
          <w:sz w:val="24"/>
          <w:szCs w:val="24"/>
        </w:rPr>
      </w:pPr>
      <w:r>
        <w:rPr>
          <w:rFonts w:ascii="宋体" w:hAnsi="宋体" w:eastAsia="宋体" w:cs="宋体"/>
          <w:sz w:val="24"/>
          <w:szCs w:val="24"/>
        </w:rPr>
        <w:br w:type="page"/>
      </w:r>
    </w:p>
    <w:p>
      <w:pPr>
        <w:adjustRightInd w:val="0"/>
        <w:spacing w:before="120" w:after="120" w:afterLines="50" w:line="280" w:lineRule="atLeast"/>
        <w:textAlignment w:val="baseline"/>
        <w:rPr>
          <w:rFonts w:ascii="Calibri" w:hAnsi="Calibri" w:eastAsia="新宋体" w:cs="Times New Roman"/>
          <w:szCs w:val="21"/>
        </w:rPr>
      </w:pPr>
    </w:p>
    <w:p>
      <w:pPr>
        <w:keepNext/>
        <w:keepLines/>
        <w:spacing w:before="120" w:after="120" w:line="360" w:lineRule="auto"/>
        <w:jc w:val="center"/>
        <w:outlineLvl w:val="1"/>
        <w:rPr>
          <w:rFonts w:ascii="Arial" w:hAnsi="Arial" w:eastAsia="宋体" w:cs="Times New Roman"/>
          <w:sz w:val="24"/>
          <w:szCs w:val="24"/>
        </w:rPr>
      </w:pPr>
      <w:r>
        <w:rPr>
          <w:rFonts w:hint="eastAsia" w:ascii="Arial" w:hAnsi="Arial" w:eastAsia="宋体" w:cs="Times New Roman"/>
          <w:sz w:val="24"/>
          <w:szCs w:val="24"/>
        </w:rPr>
        <w:t>第二节</w:t>
      </w:r>
      <w:r>
        <w:rPr>
          <w:rFonts w:ascii="Arial" w:hAnsi="Arial" w:eastAsia="宋体" w:cs="Times New Roman"/>
          <w:sz w:val="24"/>
          <w:szCs w:val="24"/>
        </w:rPr>
        <w:t xml:space="preserve">  </w:t>
      </w:r>
      <w:r>
        <w:rPr>
          <w:rFonts w:hint="eastAsia" w:ascii="Arial" w:hAnsi="Arial" w:eastAsia="宋体" w:cs="Times New Roman"/>
          <w:sz w:val="24"/>
          <w:szCs w:val="24"/>
        </w:rPr>
        <w:t>供货方式</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二、供货地点：本项目建设工地。</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三、供货时间</w:t>
      </w:r>
    </w:p>
    <w:p>
      <w:pPr>
        <w:pStyle w:val="16"/>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交货期（需要明确）：</w:t>
      </w:r>
    </w:p>
    <w:p>
      <w:pPr>
        <w:pStyle w:val="16"/>
        <w:spacing w:line="360" w:lineRule="auto"/>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1、2</w:t>
      </w:r>
      <w:r>
        <w:rPr>
          <w:rFonts w:hAnsi="宋体" w:eastAsia="宋体" w:cs="宋体"/>
          <w:color w:val="FF0000"/>
          <w:sz w:val="24"/>
          <w:szCs w:val="24"/>
          <w:highlight w:val="yellow"/>
        </w:rPr>
        <w:t>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10</w:t>
      </w:r>
      <w:r>
        <w:rPr>
          <w:rFonts w:hint="eastAsia" w:hAnsi="宋体" w:eastAsia="宋体" w:cs="宋体"/>
          <w:color w:val="FF0000"/>
          <w:sz w:val="24"/>
          <w:szCs w:val="24"/>
          <w:highlight w:val="yellow"/>
        </w:rPr>
        <w:t>日</w:t>
      </w:r>
      <w:r>
        <w:rPr>
          <w:rFonts w:hint="eastAsia" w:hAnsi="宋体" w:eastAsia="宋体" w:cs="宋体"/>
          <w:color w:val="FF0000"/>
          <w:sz w:val="24"/>
          <w:szCs w:val="24"/>
          <w:highlight w:val="yellow"/>
          <w:lang w:val="en-US" w:eastAsia="zh-CN"/>
        </w:rPr>
        <w:t>前</w:t>
      </w:r>
      <w:r>
        <w:rPr>
          <w:rFonts w:hint="eastAsia" w:hAnsi="宋体" w:eastAsia="宋体" w:cs="宋体"/>
          <w:color w:val="FF0000"/>
          <w:sz w:val="24"/>
          <w:szCs w:val="24"/>
          <w:highlight w:val="yellow"/>
        </w:rPr>
        <w:t>设备进场。</w:t>
      </w:r>
    </w:p>
    <w:p>
      <w:pPr>
        <w:pStyle w:val="16"/>
        <w:spacing w:line="360" w:lineRule="auto"/>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2、</w:t>
      </w:r>
      <w:r>
        <w:rPr>
          <w:rFonts w:hAnsi="宋体" w:eastAsia="宋体" w:cs="宋体"/>
          <w:color w:val="FF0000"/>
          <w:sz w:val="24"/>
          <w:szCs w:val="24"/>
          <w:highlight w:val="yellow"/>
        </w:rPr>
        <w:t>202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20</w:t>
      </w:r>
      <w:r>
        <w:rPr>
          <w:rFonts w:hint="eastAsia" w:hAnsi="宋体" w:eastAsia="宋体" w:cs="宋体"/>
          <w:color w:val="FF0000"/>
          <w:sz w:val="24"/>
          <w:szCs w:val="24"/>
          <w:highlight w:val="yellow"/>
        </w:rPr>
        <w:t>日具备首车下线能力。</w:t>
      </w:r>
    </w:p>
    <w:p>
      <w:pPr>
        <w:pStyle w:val="16"/>
        <w:spacing w:line="360" w:lineRule="auto"/>
        <w:ind w:firstLine="480" w:firstLineChars="200"/>
        <w:rPr>
          <w:rFonts w:hint="eastAsia" w:hAnsi="宋体" w:eastAsia="宋体" w:cs="宋体"/>
          <w:sz w:val="24"/>
          <w:szCs w:val="24"/>
          <w:highlight w:val="yellow"/>
        </w:rPr>
      </w:pPr>
      <w:r>
        <w:rPr>
          <w:rFonts w:hint="eastAsia" w:hAnsi="宋体" w:eastAsia="宋体" w:cs="宋体"/>
          <w:color w:val="FF0000"/>
          <w:sz w:val="24"/>
          <w:szCs w:val="24"/>
          <w:highlight w:val="yellow"/>
        </w:rPr>
        <w:t>3、</w:t>
      </w:r>
      <w:r>
        <w:rPr>
          <w:rFonts w:hAnsi="宋体" w:eastAsia="宋体" w:cs="宋体"/>
          <w:color w:val="FF0000"/>
          <w:sz w:val="24"/>
          <w:szCs w:val="24"/>
          <w:highlight w:val="yellow"/>
        </w:rPr>
        <w:t>202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31</w:t>
      </w:r>
      <w:r>
        <w:rPr>
          <w:rFonts w:hint="eastAsia" w:hAnsi="宋体" w:eastAsia="宋体" w:cs="宋体"/>
          <w:color w:val="FF0000"/>
          <w:sz w:val="24"/>
          <w:szCs w:val="24"/>
          <w:highlight w:val="yellow"/>
        </w:rPr>
        <w:t>日具备批量生产能力。</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安装调试时间或终验收时间超过规定时间的，投标方应当随标书提供详细的工期计划。</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、在不受到外界破坏情况下，包装应保证自交货日起一年内货物（或设备）完好无损。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、在每批货物（或设备）发出后，应立即通知招标方；通知中应指明：合同号、货运单号、件数、重量和货物（或设备）发出日期等相关内容。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、货物（或设备）运抵交货地点后，应负责货物（或设备）的卸货、搬运、保管等事宜；或按照合同约定。</w:t>
      </w:r>
    </w:p>
    <w:p>
      <w:pPr>
        <w:rPr>
          <w:rFonts w:hint="eastAsia" w:ascii="黑体" w:hAnsi="等线" w:eastAsia="黑体" w:cs="Times New Roman"/>
          <w:sz w:val="24"/>
          <w:szCs w:val="24"/>
        </w:rPr>
      </w:pPr>
      <w:r>
        <w:rPr>
          <w:rFonts w:ascii="黑体" w:hAnsi="等线" w:eastAsia="黑体" w:cs="Times New Roman"/>
          <w:sz w:val="24"/>
          <w:szCs w:val="24"/>
        </w:rPr>
        <w:br w:type="page"/>
      </w:r>
    </w:p>
    <w:p>
      <w:pPr>
        <w:keepNext/>
        <w:keepLines/>
        <w:spacing w:before="120" w:after="120" w:line="360" w:lineRule="auto"/>
        <w:jc w:val="center"/>
        <w:outlineLvl w:val="0"/>
        <w:rPr>
          <w:rFonts w:hint="eastAsia" w:ascii="宋体" w:hAnsi="宋体" w:eastAsia="等线" w:cs="宋体"/>
          <w:kern w:val="44"/>
          <w:sz w:val="28"/>
          <w:szCs w:val="28"/>
        </w:rPr>
      </w:pPr>
      <w:r>
        <w:rPr>
          <w:rFonts w:hint="eastAsia" w:ascii="宋体" w:hAnsi="宋体" w:eastAsia="等线" w:cs="宋体"/>
          <w:kern w:val="44"/>
          <w:sz w:val="28"/>
          <w:szCs w:val="28"/>
        </w:rPr>
        <w:t>第四章</w:t>
      </w:r>
      <w:r>
        <w:rPr>
          <w:rFonts w:ascii="宋体" w:hAnsi="宋体" w:eastAsia="等线" w:cs="宋体"/>
          <w:kern w:val="44"/>
          <w:sz w:val="28"/>
          <w:szCs w:val="28"/>
        </w:rPr>
        <w:t xml:space="preserve">  </w:t>
      </w:r>
      <w:r>
        <w:rPr>
          <w:rFonts w:hint="eastAsia" w:ascii="宋体" w:hAnsi="宋体" w:eastAsia="等线" w:cs="宋体"/>
          <w:kern w:val="44"/>
          <w:sz w:val="28"/>
          <w:szCs w:val="28"/>
        </w:rPr>
        <w:t>质保期及售后服务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一、质保期及质保要求</w:t>
      </w:r>
    </w:p>
    <w:p>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、质保期内免费提供零部件和及时有效的服务。质保期内因货物本身缺陷造成的各种故障，投标方应负责免费维修和服务。</w:t>
      </w:r>
    </w:p>
    <w:p>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、质保期终止之日起一年内重复出现的质保期之内出现的故障，仍属质保范围而且应当免费。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二、技术及培训服务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、应免费提供一定数量的培训资料。</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、若投标方提供货物涉及到外购外协货物、而且该货物的技术质量等较为关键时，投标方应能保证得到配套厂家的技术支持，并免费为招标方提供技术服务。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三、安装调试及验收服务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、若投标方提供的货物涉及到外购外协货物、而且该货物的技术质量等较为关键时，应保证能得到供应商的技术支持，并免费为招标方提供安装使用现场的指导与培训。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、投标方应当向招标方提供货物试验、验收的有关标准、规范和方法，同时提供货物涉及并使用的软件合法性证明。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、服务缺陷视同货物缺陷和履约延期。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四、售后服务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、投标方提供的货物涉及的所有售后服务均由投标方负责。如果发生问题并且收到通知，投标方应当在</w:t>
      </w:r>
      <w:r>
        <w:rPr>
          <w:rFonts w:ascii="宋体" w:hAnsi="宋体" w:eastAsia="宋体" w:cs="宋体"/>
          <w:sz w:val="24"/>
          <w:szCs w:val="24"/>
        </w:rPr>
        <w:t>2</w:t>
      </w:r>
      <w:r>
        <w:rPr>
          <w:rFonts w:hint="eastAsia" w:ascii="宋体" w:hAnsi="宋体" w:eastAsia="宋体" w:cs="宋体"/>
          <w:sz w:val="24"/>
          <w:szCs w:val="24"/>
        </w:rPr>
        <w:t>小时内予以答复。</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、如发现所提供的货物存在问题，需要投标方解决或配合解决时：在质保期之内，应在接到通知后</w:t>
      </w:r>
      <w:r>
        <w:rPr>
          <w:rFonts w:ascii="宋体" w:hAnsi="宋体" w:eastAsia="宋体" w:cs="宋体"/>
          <w:sz w:val="24"/>
          <w:szCs w:val="24"/>
          <w:u w:val="single"/>
          <w:shd w:val="pct10" w:color="auto" w:fill="FFFFFF"/>
        </w:rPr>
        <w:t xml:space="preserve"> 48 </w:t>
      </w:r>
      <w:r>
        <w:rPr>
          <w:rFonts w:hint="eastAsia" w:ascii="宋体" w:hAnsi="宋体" w:eastAsia="宋体" w:cs="宋体"/>
          <w:sz w:val="24"/>
          <w:szCs w:val="24"/>
        </w:rPr>
        <w:t>小时内派有关人员到达现场；在质保期之外，应在接到通知后</w:t>
      </w:r>
      <w:r>
        <w:rPr>
          <w:rFonts w:ascii="宋体" w:hAnsi="宋体" w:eastAsia="宋体" w:cs="宋体"/>
          <w:sz w:val="24"/>
          <w:szCs w:val="24"/>
          <w:u w:val="single"/>
          <w:shd w:val="pct10" w:color="auto" w:fill="FFFFFF"/>
        </w:rPr>
        <w:t xml:space="preserve"> 72 </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、投标方派往招标方使用现场的人员，应具有较高的业务素质；现场解决问题时，不得无故拖延或推迟，应为招标方提供最佳的服务。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五、其它服务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、若投标方所提供货物有需要进口的，投标方一般应自行、自费办理；必要时，买卖双方共同办理。</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、除招标文件、投标文件、答疑文件、技术协议、合同等约定之外，投标方应免费负责必要的或强制性的货物的检验、试验、化验等直接费用。</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、本章节条款所列“免费”，并非指定不可收费，而是指招标文件、投标文件、答疑文件、技术交流文件、技术协议书和合同等范围之外，投标方不可另行收取的费用。</w:t>
      </w:r>
    </w:p>
    <w:p>
      <w:pPr>
        <w:rPr>
          <w:rFonts w:hint="eastAsia" w:ascii="黑体" w:hAnsi="等线" w:eastAsia="黑体" w:cs="Times New Roman"/>
          <w:szCs w:val="24"/>
        </w:rPr>
      </w:pPr>
      <w:r>
        <w:rPr>
          <w:rFonts w:ascii="黑体" w:hAnsi="等线" w:eastAsia="黑体" w:cs="Times New Roman"/>
          <w:szCs w:val="24"/>
        </w:rPr>
        <w:br w:type="page"/>
      </w:r>
    </w:p>
    <w:p>
      <w:pPr>
        <w:keepNext/>
        <w:keepLines/>
        <w:spacing w:before="120" w:after="120" w:line="360" w:lineRule="auto"/>
        <w:jc w:val="center"/>
        <w:outlineLvl w:val="0"/>
        <w:rPr>
          <w:rFonts w:hint="eastAsia" w:ascii="宋体" w:hAnsi="宋体" w:eastAsia="等线" w:cs="宋体"/>
          <w:kern w:val="44"/>
          <w:sz w:val="28"/>
          <w:szCs w:val="28"/>
        </w:rPr>
      </w:pPr>
      <w:r>
        <w:rPr>
          <w:rFonts w:hint="eastAsia" w:ascii="宋体" w:hAnsi="宋体" w:eastAsia="等线" w:cs="宋体"/>
          <w:kern w:val="44"/>
          <w:sz w:val="28"/>
          <w:szCs w:val="28"/>
        </w:rPr>
        <w:t>第五章  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一、验收依据和验收标准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、如果验收过程中，发现招标文件、投标文件、答疑文件、技术交流文件等与技术协议书、合同存在差异，原则上以涉及条款中对招标方最有利条款为验收依据。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二、检验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、进口货物的检验，投标方需要按照下述要求进行：</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2.1</w:t>
      </w:r>
      <w:r>
        <w:rPr>
          <w:rFonts w:hint="eastAsia" w:ascii="宋体" w:hAnsi="宋体" w:eastAsia="宋体" w:cs="宋体"/>
          <w:sz w:val="24"/>
          <w:szCs w:val="24"/>
        </w:rPr>
        <w:t>进口货物发货前，应对货物的质量、型号、规格、性能和数量</w:t>
      </w:r>
      <w:r>
        <w:rPr>
          <w:rFonts w:ascii="宋体" w:hAnsi="宋体" w:eastAsia="宋体" w:cs="宋体"/>
          <w:sz w:val="24"/>
          <w:szCs w:val="24"/>
        </w:rPr>
        <w:t>/</w:t>
      </w:r>
      <w:r>
        <w:rPr>
          <w:rFonts w:hint="eastAsia" w:ascii="宋体" w:hAnsi="宋体" w:eastAsia="宋体" w:cs="宋体"/>
          <w:sz w:val="24"/>
          <w:szCs w:val="24"/>
        </w:rPr>
        <w:t>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2.2</w:t>
      </w:r>
      <w:r>
        <w:rPr>
          <w:rFonts w:hint="eastAsia" w:ascii="宋体" w:hAnsi="宋体" w:eastAsia="宋体" w:cs="宋体"/>
          <w:sz w:val="24"/>
          <w:szCs w:val="24"/>
        </w:rPr>
        <w:t>应依据合同规定的要求，提供买卖双方达成一致的货物的验收标准和装箱单，作为招标方检验的依据。</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2.3</w:t>
      </w:r>
      <w:r>
        <w:rPr>
          <w:rFonts w:hint="eastAsia" w:ascii="宋体" w:hAnsi="宋体" w:eastAsia="宋体" w:cs="宋体"/>
          <w:sz w:val="24"/>
          <w:szCs w:val="24"/>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rPr>
        <w:t>180</w:t>
      </w:r>
      <w:r>
        <w:rPr>
          <w:rFonts w:hint="eastAsia" w:ascii="宋体" w:hAnsi="宋体" w:eastAsia="宋体" w:cs="宋体"/>
          <w:sz w:val="24"/>
          <w:szCs w:val="24"/>
        </w:rPr>
        <w:t>个日历日内，根据中国商品检验检疫局出具的证明书向投标方提出索赔，因索赔所发生的一切费用</w:t>
      </w:r>
      <w:r>
        <w:rPr>
          <w:rFonts w:ascii="宋体" w:hAnsi="宋体" w:eastAsia="宋体" w:cs="宋体"/>
          <w:sz w:val="24"/>
          <w:szCs w:val="24"/>
        </w:rPr>
        <w:t>(</w:t>
      </w:r>
      <w:r>
        <w:rPr>
          <w:rFonts w:hint="eastAsia" w:ascii="宋体" w:hAnsi="宋体" w:eastAsia="宋体" w:cs="宋体"/>
          <w:sz w:val="24"/>
          <w:szCs w:val="24"/>
        </w:rPr>
        <w:t>包括检验检疫费等</w:t>
      </w:r>
      <w:r>
        <w:rPr>
          <w:rFonts w:ascii="宋体" w:hAnsi="宋体" w:eastAsia="宋体" w:cs="宋体"/>
          <w:sz w:val="24"/>
          <w:szCs w:val="24"/>
        </w:rPr>
        <w:t>)</w:t>
      </w:r>
      <w:r>
        <w:rPr>
          <w:rFonts w:hint="eastAsia" w:ascii="宋体" w:hAnsi="宋体" w:eastAsia="宋体" w:cs="宋体"/>
          <w:sz w:val="24"/>
          <w:szCs w:val="24"/>
        </w:rPr>
        <w:t>均由投标方承担。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1.预验收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1.1预验收一般条件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1.1.2货物应完整，外观完整无损伤，货物标牌完整、清晰、明确。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1.1.3货物的安全要求符合中国最新的相关法律、法规、标准和规范以及合同要求。 </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1.2 预验收内容 </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1.2.1加工件外观无缺陷、无裂痕，材质无缺陷，坚固实用。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1.2.2加工件表面无锋利边缘，焊缝无焊接缺陷。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1.2.3卖方按标书及合同技术协议的货物清单对货物进行清点，按标书及技术协议中的技术指标如设备功能、测量参数、控制参数、精度等对设备及其附件进行检验，达到协议要求且双方签字确认后，预验收完成。</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1.2.4生产过程中及生产完成后到材料生产地点进行预验收，招投标双方按照合同约定执行了合同并经检验合格，则具备验收条件。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1.2.5双方参加，检查结构件、货架、托盘加工及处理情况。经招标方确认合格后方可包装、发运。</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1.2.6预验收过程中，由于投标方设计或制造等原因而出现的质量问题，招标方有权提出并请投标方返修，然后再次检查直至合格。</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1.2.7预验收合格后，发运前双方需签署预验收记录，但预验收合格的记录不能替代最终验收报告。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1.1</w:t>
      </w:r>
      <w:r>
        <w:rPr>
          <w:rFonts w:hint="eastAsia" w:ascii="宋体" w:hAnsi="宋体" w:eastAsia="宋体" w:cs="宋体"/>
          <w:sz w:val="24"/>
          <w:szCs w:val="24"/>
        </w:rPr>
        <w:t>投标方已经按照“供货范围”要求提供了预验收资料，并且资料齐全、完整和有效。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1.2</w:t>
      </w:r>
      <w:r>
        <w:rPr>
          <w:rFonts w:hint="eastAsia" w:ascii="宋体" w:hAnsi="宋体" w:eastAsia="宋体" w:cs="宋体"/>
          <w:sz w:val="24"/>
          <w:szCs w:val="24"/>
        </w:rPr>
        <w:t>货物安装调试完毕，并至少经过了验收要求的负荷试运行；投标方提出验收要求后，在连续1个月的生产周期内，设备故障率(因设备故障造成停线时间/总运行时间)在5%以下。</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1.3</w:t>
      </w:r>
      <w:r>
        <w:rPr>
          <w:rFonts w:hint="eastAsia" w:ascii="宋体" w:hAnsi="宋体" w:eastAsia="宋体" w:cs="宋体"/>
          <w:sz w:val="24"/>
          <w:szCs w:val="24"/>
        </w:rPr>
        <w:t>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1.4</w:t>
      </w:r>
      <w:r>
        <w:rPr>
          <w:rFonts w:hint="eastAsia" w:ascii="宋体" w:hAnsi="宋体" w:eastAsia="宋体" w:cs="宋体"/>
          <w:sz w:val="24"/>
          <w:szCs w:val="24"/>
        </w:rPr>
        <w:t>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1.5</w:t>
      </w:r>
      <w:r>
        <w:rPr>
          <w:rFonts w:hint="eastAsia" w:ascii="宋体" w:hAnsi="宋体" w:eastAsia="宋体" w:cs="宋体"/>
          <w:sz w:val="24"/>
          <w:szCs w:val="24"/>
        </w:rPr>
        <w:t>货物的润滑系统工作正常、可靠，润滑点易于到达。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1.6</w:t>
      </w:r>
      <w:r>
        <w:rPr>
          <w:rFonts w:hint="eastAsia" w:ascii="宋体" w:hAnsi="宋体" w:eastAsia="宋体" w:cs="宋体"/>
          <w:sz w:val="24"/>
          <w:szCs w:val="24"/>
        </w:rPr>
        <w:t>使用的压力容器、电气等应具备合格证（如果有压力容器）。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1.7</w:t>
      </w:r>
      <w:r>
        <w:rPr>
          <w:rFonts w:hint="eastAsia" w:ascii="宋体" w:hAnsi="宋体" w:eastAsia="宋体" w:cs="宋体"/>
          <w:sz w:val="24"/>
          <w:szCs w:val="24"/>
        </w:rPr>
        <w:t>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1.8</w:t>
      </w:r>
      <w:r>
        <w:rPr>
          <w:rFonts w:hint="eastAsia" w:ascii="宋体" w:hAnsi="宋体" w:eastAsia="宋体" w:cs="宋体"/>
          <w:sz w:val="24"/>
          <w:szCs w:val="24"/>
        </w:rPr>
        <w:t>货物标牌完整、清晰、明确。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1.9</w:t>
      </w:r>
      <w:r>
        <w:rPr>
          <w:rFonts w:hint="eastAsia" w:ascii="宋体" w:hAnsi="宋体" w:eastAsia="宋体" w:cs="宋体"/>
          <w:sz w:val="24"/>
          <w:szCs w:val="24"/>
        </w:rPr>
        <w:t>地线联接和地极符合国际（</w:t>
      </w:r>
      <w:r>
        <w:rPr>
          <w:rFonts w:ascii="宋体" w:hAnsi="宋体" w:eastAsia="宋体" w:cs="宋体"/>
          <w:sz w:val="24"/>
          <w:szCs w:val="24"/>
        </w:rPr>
        <w:t>ISO/IEC</w:t>
      </w:r>
      <w:r>
        <w:rPr>
          <w:rFonts w:hint="eastAsia" w:ascii="宋体" w:hAnsi="宋体" w:eastAsia="宋体" w:cs="宋体"/>
          <w:sz w:val="24"/>
          <w:szCs w:val="24"/>
        </w:rPr>
        <w:t>）标准规范。</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1.10</w:t>
      </w:r>
      <w:r>
        <w:rPr>
          <w:rFonts w:hint="eastAsia" w:ascii="宋体" w:hAnsi="宋体" w:eastAsia="宋体" w:cs="宋体"/>
          <w:sz w:val="24"/>
          <w:szCs w:val="24"/>
        </w:rPr>
        <w:t>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2.1.11中标方提出终验收前1个月，需向招标方提供的技术文件资料：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1）所有技术文件资料均为纸质文件3套和电子版文件（含3D和2D）3套（U盘），其中所有电子版文件必须使用国际通用软件以确保能在招标方的计算机中打开并进行编辑和修改。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2）所有设备的数量、规格明细及可供制造或采购的图纸、标准；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3）标的物的操作、维护和维修手册，以及液压、电气、润滑（气动）原理图；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4）提供设施消耗电、气的详细资料；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5）工装图纸（包括总成图、分总成图、部件图、零件图以及适用的标准等技术文件），投标方专利部分图纸，可提供简图；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6）滑台的总图、装配安装图、部件图、零件图；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7）外购件明细表及相应的供应商联系地址和使用维修说明书；</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8）易损件和备件明细表，当投标方认为必要时在提供货物的同时应提供必要数量的易损件和备件；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9）电动葫芦的使用说明书，维修手册；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10）控制软件。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2.2终验收标准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2.2.1投标方派专家到招标方现场进行安装调试和技术指导。所有设备由投标方负责安装、调试完成后，双方在生产地点进行最终验收。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2.2.2设备需连续空运转8小时没有任何故障，其中每间隔4小时允许有30分钟的暂停时间用以设备的检查。在空运转中，所有电器、液压系统需符合有关产品标准。超出以上规定时间，则重新开始计算。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在连续的生产周期内，设备故障率(因设备故障造成停线时间/总运行时间)在</w:t>
      </w:r>
      <w:r>
        <w:rPr>
          <w:rFonts w:ascii="宋体" w:hAnsi="宋体" w:eastAsia="宋体" w:cs="宋体"/>
          <w:sz w:val="24"/>
          <w:szCs w:val="24"/>
        </w:rPr>
        <w:t>5</w:t>
      </w:r>
      <w:r>
        <w:rPr>
          <w:rFonts w:hint="eastAsia" w:ascii="宋体" w:hAnsi="宋体" w:eastAsia="宋体" w:cs="宋体"/>
          <w:sz w:val="24"/>
          <w:szCs w:val="24"/>
        </w:rPr>
        <w:t>%以下。在此期间保证现有线体生产的新车型至少有10辆份的测量数据且测量数据均满足尺寸精度要求。驾驶室总数量累计不得低于</w:t>
      </w:r>
      <w:r>
        <w:rPr>
          <w:rFonts w:ascii="宋体" w:hAnsi="宋体" w:eastAsia="宋体" w:cs="宋体"/>
          <w:sz w:val="24"/>
          <w:szCs w:val="24"/>
        </w:rPr>
        <w:t>20</w:t>
      </w:r>
      <w:r>
        <w:rPr>
          <w:rFonts w:hint="eastAsia" w:ascii="宋体" w:hAnsi="宋体" w:eastAsia="宋体" w:cs="宋体"/>
          <w:sz w:val="24"/>
          <w:szCs w:val="24"/>
        </w:rPr>
        <w:t>辆份并经过总装装配验证，装配无问题后视为达到申请验收标准。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2.2.3最终验收期间若发现合同供货内容有质量问题或发现破损、缺陷和缺少零件，投标方应根据招标方要求免费更换零部件并解决问题，并且记录在终验收的报告中。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2.2.4按合同要求验收，若投标方提供的标的内容、技术资料与合同中规定的内容有不符或缺少时，招标方有权要求更换及补偿。</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2.2.5投标方一旦中标，需向招标方提供的技术文件资料。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2.2.6装配图、易损件2D零件图（若易损件需要加工型面，需增加提供3D图）、零件明细（内部标注易损件）。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2.2.7所有技术文件资料均为电子版文件（含3D和2D）3套（U盘）3套，纸质版文件3份，其中所有电子版文件必须使用国际通用软件以确保能在招标方的计算机中打开并进行编辑和修改。</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8所配备的传感器等计量仪器、仪表配套合理，采用中国的法定计量单位，计量准确、灵敏可靠，能够实现预期的技术要求。</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9控制系统运行稳定可靠，能够实现前述远程控制、状态监测、故障报警等功能。</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10试运行期间或之后无维修、调整等行为（特殊情况除外）。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11验收原则上要求一次完成。若一次验收不成功，最多允许两次；如果出现第三次验收失败，重新作价或退货。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12验收通过后买卖双方共同签署验收报告，并移交、核对全部供货范围内物品。</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3.技术培训</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3.1在预验收和终验收期间，投标方应派有经验的专家对招标方相关人员进行理论和实际操作的培训，并提供成套培训资料，所有培训应是免费的。</w:t>
      </w:r>
    </w:p>
    <w:p>
      <w:pPr>
        <w:rPr>
          <w:rFonts w:hint="eastAsia" w:ascii="黑体" w:hAnsi="等线" w:eastAsia="黑体" w:cs="Times New Roman"/>
          <w:sz w:val="24"/>
          <w:szCs w:val="24"/>
        </w:rPr>
      </w:pPr>
      <w:r>
        <w:rPr>
          <w:rFonts w:ascii="黑体" w:hAnsi="等线" w:eastAsia="黑体" w:cs="Times New Roman"/>
          <w:sz w:val="24"/>
          <w:szCs w:val="24"/>
        </w:rPr>
        <w:br w:type="page"/>
      </w:r>
    </w:p>
    <w:p>
      <w:pPr>
        <w:keepNext/>
        <w:keepLines/>
        <w:spacing w:before="120" w:after="120" w:line="360" w:lineRule="auto"/>
        <w:jc w:val="center"/>
        <w:outlineLvl w:val="0"/>
        <w:rPr>
          <w:rFonts w:hint="eastAsia" w:ascii="宋体" w:hAnsi="宋体" w:eastAsia="等线" w:cs="宋体"/>
          <w:kern w:val="44"/>
          <w:sz w:val="28"/>
          <w:szCs w:val="28"/>
        </w:rPr>
      </w:pPr>
      <w:r>
        <w:rPr>
          <w:rFonts w:hint="eastAsia" w:ascii="宋体" w:hAnsi="宋体" w:eastAsia="等线" w:cs="宋体"/>
          <w:kern w:val="44"/>
          <w:sz w:val="28"/>
          <w:szCs w:val="28"/>
        </w:rPr>
        <w:t>第六章</w:t>
      </w:r>
      <w:r>
        <w:rPr>
          <w:rFonts w:ascii="宋体" w:hAnsi="宋体" w:eastAsia="等线" w:cs="宋体"/>
          <w:kern w:val="44"/>
          <w:sz w:val="28"/>
          <w:szCs w:val="28"/>
        </w:rPr>
        <w:t xml:space="preserve">  </w:t>
      </w:r>
      <w:r>
        <w:rPr>
          <w:rFonts w:hint="eastAsia" w:ascii="宋体" w:hAnsi="宋体" w:eastAsia="等线" w:cs="宋体"/>
          <w:kern w:val="44"/>
          <w:sz w:val="28"/>
          <w:szCs w:val="28"/>
        </w:rPr>
        <w:t>投标技术文件一般要求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、投标技术文件至少应按照招标文件要求（或投标方建议）列明备品备件、易损件和专用耗材明细。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highlight w:val="green"/>
        </w:rPr>
      </w:pPr>
      <w:r>
        <w:rPr>
          <w:rFonts w:ascii="宋体" w:hAnsi="宋体" w:eastAsia="宋体" w:cs="宋体"/>
          <w:sz w:val="24"/>
          <w:szCs w:val="24"/>
        </w:rPr>
        <w:t xml:space="preserve">6.1 </w:t>
      </w:r>
      <w:r>
        <w:rPr>
          <w:rFonts w:hint="eastAsia" w:ascii="宋体" w:hAnsi="宋体" w:eastAsia="宋体" w:cs="宋体"/>
          <w:sz w:val="24"/>
          <w:szCs w:val="24"/>
        </w:rPr>
        <w:t xml:space="preserve"> 投标货物配置一览表：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投标货物配置一览表</w:t>
      </w:r>
      <w:r>
        <w:rPr>
          <w:rFonts w:ascii="宋体" w:hAnsi="宋体" w:eastAsia="宋体" w:cs="宋体"/>
          <w:sz w:val="24"/>
          <w:szCs w:val="24"/>
        </w:rPr>
        <w:t xml:space="preserve">          </w:t>
      </w:r>
      <w:r>
        <w:rPr>
          <w:rFonts w:hint="eastAsia" w:ascii="宋体" w:hAnsi="宋体" w:eastAsia="宋体" w:cs="宋体"/>
          <w:sz w:val="24"/>
          <w:szCs w:val="24"/>
        </w:rPr>
        <w:t>单位：元</w:t>
      </w:r>
    </w:p>
    <w:tbl>
      <w:tblPr>
        <w:tblStyle w:val="3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bl>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6.2  </w:t>
      </w:r>
      <w:r>
        <w:rPr>
          <w:rFonts w:hint="eastAsia" w:ascii="宋体" w:hAnsi="宋体" w:eastAsia="宋体" w:cs="宋体"/>
          <w:sz w:val="24"/>
          <w:szCs w:val="24"/>
        </w:rPr>
        <w:t>备品备件、易损件和专用耗材明细表：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w:t>
      </w:r>
      <w:r>
        <w:rPr>
          <w:rFonts w:ascii="宋体" w:hAnsi="宋体" w:eastAsia="宋体" w:cs="宋体"/>
          <w:sz w:val="24"/>
          <w:szCs w:val="24"/>
        </w:rPr>
        <w:t xml:space="preserve">             </w:t>
      </w:r>
      <w:r>
        <w:rPr>
          <w:rFonts w:hint="eastAsia" w:ascii="宋体" w:hAnsi="宋体" w:eastAsia="宋体" w:cs="宋体"/>
          <w:sz w:val="24"/>
          <w:szCs w:val="24"/>
        </w:rPr>
        <w:t>单位：元</w:t>
      </w:r>
    </w:p>
    <w:tbl>
      <w:tblPr>
        <w:tblStyle w:val="3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bl>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6.3  </w:t>
      </w:r>
      <w:r>
        <w:rPr>
          <w:rFonts w:hint="eastAsia" w:ascii="宋体" w:hAnsi="宋体" w:eastAsia="宋体" w:cs="宋体"/>
          <w:sz w:val="24"/>
          <w:szCs w:val="24"/>
        </w:rPr>
        <w:t>“一览表”和“明细表”仅作为投标方编制投标技术文件的一般格式。其中序号编写应当便于招标方了解分类或分项货物之间的所属关系，如</w:t>
      </w:r>
      <w:r>
        <w:rPr>
          <w:rFonts w:ascii="宋体" w:hAnsi="宋体" w:eastAsia="宋体" w:cs="宋体"/>
          <w:sz w:val="24"/>
          <w:szCs w:val="24"/>
        </w:rPr>
        <w:t>1</w:t>
      </w:r>
      <w:r>
        <w:rPr>
          <w:rFonts w:hint="eastAsia" w:ascii="宋体" w:hAnsi="宋体" w:eastAsia="宋体" w:cs="宋体"/>
          <w:sz w:val="24"/>
          <w:szCs w:val="24"/>
        </w:rPr>
        <w:t>、</w:t>
      </w:r>
      <w:r>
        <w:rPr>
          <w:rFonts w:ascii="宋体" w:hAnsi="宋体" w:eastAsia="宋体" w:cs="宋体"/>
          <w:sz w:val="24"/>
          <w:szCs w:val="24"/>
        </w:rPr>
        <w:t>1.1</w:t>
      </w:r>
      <w:r>
        <w:rPr>
          <w:rFonts w:hint="eastAsia" w:ascii="宋体" w:hAnsi="宋体" w:eastAsia="宋体" w:cs="宋体"/>
          <w:sz w:val="24"/>
          <w:szCs w:val="24"/>
        </w:rPr>
        <w:t>、</w:t>
      </w:r>
      <w:r>
        <w:rPr>
          <w:rFonts w:ascii="宋体" w:hAnsi="宋体" w:eastAsia="宋体" w:cs="宋体"/>
          <w:sz w:val="24"/>
          <w:szCs w:val="24"/>
        </w:rPr>
        <w:t>1.2</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6.4  </w:t>
      </w:r>
      <w:r>
        <w:rPr>
          <w:rFonts w:hint="eastAsia" w:ascii="宋体" w:hAnsi="宋体" w:eastAsia="宋体" w:cs="宋体"/>
          <w:sz w:val="24"/>
          <w:szCs w:val="24"/>
        </w:rPr>
        <w:t>应当尽可能将货物的配置列全、列细，这将有助于投标方胜出。</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6.5  </w:t>
      </w:r>
      <w:r>
        <w:rPr>
          <w:rFonts w:hint="eastAsia" w:ascii="宋体" w:hAnsi="宋体" w:eastAsia="宋体" w:cs="宋体"/>
          <w:sz w:val="24"/>
          <w:szCs w:val="24"/>
        </w:rPr>
        <w:t>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6.6  </w:t>
      </w:r>
      <w:r>
        <w:rPr>
          <w:rFonts w:hint="eastAsia" w:ascii="宋体" w:hAnsi="宋体" w:eastAsia="宋体" w:cs="宋体"/>
          <w:sz w:val="24"/>
          <w:szCs w:val="24"/>
        </w:rPr>
        <w:t>本条款表格中的制造商，应当为全称或公认的简称。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二、技术文件中货物报价格式要求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、货物配置一览表合计价以及备品备件、易损件和专用耗材明细表合计价应当在投标总报价内对应重现而且应当数据准确。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其中，质保期之内需要的备品备件、易损件和专用耗材，需要在配置一览表内单独分类列出并计入货物配置一览表合计价。</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、投标总报价为自合同签定生效至合同无异议执行完毕涉及的招标方需要支付的全部费用。如投标方认为本招标及投标货物涉及特需或专门的设计，应当单独列明设计费。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、备品备件、易损件和专用耗材，招标方将可能与投标方按照投标价格另行签署供货合同。</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rPr>
          <w:rFonts w:hint="eastAsia" w:ascii="黑体" w:hAnsi="等线" w:eastAsia="黑体" w:cs="Times New Roman"/>
          <w:sz w:val="24"/>
          <w:szCs w:val="24"/>
        </w:rPr>
      </w:pPr>
      <w:r>
        <w:rPr>
          <w:rFonts w:ascii="黑体" w:hAnsi="等线" w:eastAsia="黑体" w:cs="Times New Roman"/>
          <w:sz w:val="24"/>
          <w:szCs w:val="24"/>
        </w:rPr>
        <w:br w:type="page"/>
      </w:r>
    </w:p>
    <w:p>
      <w:pPr>
        <w:keepNext/>
        <w:keepLines/>
        <w:spacing w:before="120" w:after="120" w:line="360" w:lineRule="auto"/>
        <w:jc w:val="center"/>
        <w:outlineLvl w:val="0"/>
        <w:rPr>
          <w:rFonts w:hint="eastAsia" w:ascii="宋体" w:hAnsi="宋体" w:eastAsia="等线" w:cs="宋体"/>
          <w:kern w:val="44"/>
          <w:sz w:val="28"/>
          <w:szCs w:val="28"/>
        </w:rPr>
      </w:pPr>
      <w:r>
        <w:rPr>
          <w:rFonts w:hint="eastAsia" w:ascii="宋体" w:hAnsi="宋体" w:eastAsia="等线" w:cs="宋体"/>
          <w:kern w:val="44"/>
          <w:sz w:val="28"/>
          <w:szCs w:val="28"/>
        </w:rPr>
        <w:t>第七章</w:t>
      </w:r>
      <w:r>
        <w:rPr>
          <w:rFonts w:ascii="宋体" w:hAnsi="宋体" w:eastAsia="等线" w:cs="宋体"/>
          <w:kern w:val="44"/>
          <w:sz w:val="28"/>
          <w:szCs w:val="28"/>
        </w:rPr>
        <w:t xml:space="preserve">  </w:t>
      </w:r>
      <w:r>
        <w:rPr>
          <w:rFonts w:hint="eastAsia" w:ascii="宋体" w:hAnsi="宋体" w:eastAsia="等线" w:cs="宋体"/>
          <w:kern w:val="44"/>
          <w:sz w:val="28"/>
          <w:szCs w:val="28"/>
        </w:rPr>
        <w:t>其它要求及说明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一、要求</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rPr>
        <w:t>/</w:t>
      </w:r>
      <w:r>
        <w:rPr>
          <w:rFonts w:hint="eastAsia" w:ascii="宋体" w:hAnsi="宋体" w:eastAsia="宋体" w:cs="宋体"/>
          <w:sz w:val="24"/>
          <w:szCs w:val="24"/>
        </w:rPr>
        <w:t>柴油加热方式）、相关案例的验收检测报告，并保证其真实性和有效性。</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、投标方应当是通过有关资格认证的法人。应当在投标文件中提供有效期内的资格认证证书，如：</w:t>
      </w:r>
      <w:r>
        <w:rPr>
          <w:rFonts w:ascii="宋体" w:hAnsi="宋体" w:eastAsia="宋体" w:cs="宋体"/>
          <w:sz w:val="24"/>
          <w:szCs w:val="24"/>
        </w:rPr>
        <w:t>ISO9001</w:t>
      </w:r>
      <w:r>
        <w:rPr>
          <w:rFonts w:hint="eastAsia" w:ascii="宋体" w:hAnsi="宋体" w:eastAsia="宋体" w:cs="宋体"/>
          <w:sz w:val="24"/>
          <w:szCs w:val="24"/>
        </w:rPr>
        <w:t>、</w:t>
      </w:r>
      <w:r>
        <w:rPr>
          <w:rFonts w:ascii="宋体" w:hAnsi="宋体" w:eastAsia="宋体" w:cs="宋体"/>
          <w:sz w:val="24"/>
          <w:szCs w:val="24"/>
        </w:rPr>
        <w:t>VDA6.1</w:t>
      </w:r>
      <w:r>
        <w:rPr>
          <w:rFonts w:hint="eastAsia" w:ascii="宋体" w:hAnsi="宋体" w:eastAsia="宋体" w:cs="宋体"/>
          <w:sz w:val="24"/>
          <w:szCs w:val="24"/>
        </w:rPr>
        <w:t>、</w:t>
      </w:r>
      <w:r>
        <w:rPr>
          <w:rFonts w:ascii="宋体" w:hAnsi="宋体" w:eastAsia="宋体" w:cs="宋体"/>
          <w:sz w:val="24"/>
          <w:szCs w:val="24"/>
        </w:rPr>
        <w:t>QS9000</w:t>
      </w:r>
      <w:r>
        <w:rPr>
          <w:rFonts w:hint="eastAsia" w:ascii="宋体" w:hAnsi="宋体" w:eastAsia="宋体" w:cs="宋体"/>
          <w:sz w:val="24"/>
          <w:szCs w:val="24"/>
        </w:rPr>
        <w:t>等。</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、国产设备应附有采购货物（或设备）涉及的由“中国质量认证中心”颁发的《中国国家强制性产品认证证书》（</w:t>
      </w:r>
      <w:r>
        <w:rPr>
          <w:rFonts w:ascii="宋体" w:hAnsi="宋体" w:eastAsia="宋体" w:cs="宋体"/>
          <w:sz w:val="24"/>
          <w:szCs w:val="24"/>
        </w:rPr>
        <w:t>CCC</w:t>
      </w:r>
      <w:r>
        <w:rPr>
          <w:rFonts w:hint="eastAsia" w:ascii="宋体" w:hAnsi="宋体" w:eastAsia="宋体" w:cs="宋体"/>
          <w:sz w:val="24"/>
          <w:szCs w:val="24"/>
        </w:rPr>
        <w:t>证书）。</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、应附有其它与投标单位、采购货物有关的荣誉证书或资料。</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5.1</w:t>
      </w:r>
      <w:r>
        <w:rPr>
          <w:rFonts w:hint="eastAsia" w:ascii="宋体" w:hAnsi="宋体" w:eastAsia="宋体" w:cs="宋体"/>
          <w:sz w:val="24"/>
          <w:szCs w:val="24"/>
        </w:rPr>
        <w:t>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5.2</w:t>
      </w:r>
      <w:r>
        <w:rPr>
          <w:rFonts w:hint="eastAsia" w:ascii="宋体" w:hAnsi="宋体" w:eastAsia="宋体" w:cs="宋体"/>
          <w:sz w:val="24"/>
          <w:szCs w:val="24"/>
        </w:rPr>
        <w:t>产品（或技术）鉴定报告</w:t>
      </w:r>
      <w:r>
        <w:rPr>
          <w:rFonts w:ascii="宋体" w:hAnsi="宋体" w:eastAsia="宋体" w:cs="宋体"/>
          <w:sz w:val="24"/>
          <w:szCs w:val="24"/>
        </w:rPr>
        <w:t>/</w:t>
      </w:r>
      <w:r>
        <w:rPr>
          <w:rFonts w:hint="eastAsia" w:ascii="宋体" w:hAnsi="宋体" w:eastAsia="宋体" w:cs="宋体"/>
          <w:sz w:val="24"/>
          <w:szCs w:val="24"/>
        </w:rPr>
        <w:t>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5.3</w:t>
      </w:r>
      <w:r>
        <w:rPr>
          <w:rFonts w:hint="eastAsia" w:ascii="宋体" w:hAnsi="宋体" w:eastAsia="宋体" w:cs="宋体"/>
          <w:sz w:val="24"/>
          <w:szCs w:val="24"/>
        </w:rPr>
        <w:t>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5.4</w:t>
      </w:r>
      <w:r>
        <w:rPr>
          <w:rFonts w:hint="eastAsia" w:ascii="宋体" w:hAnsi="宋体" w:eastAsia="宋体" w:cs="宋体"/>
          <w:sz w:val="24"/>
          <w:szCs w:val="24"/>
        </w:rPr>
        <w:t>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5.5</w:t>
      </w:r>
      <w:r>
        <w:rPr>
          <w:rFonts w:hint="eastAsia" w:ascii="宋体" w:hAnsi="宋体" w:eastAsia="宋体" w:cs="宋体"/>
          <w:sz w:val="24"/>
          <w:szCs w:val="24"/>
        </w:rPr>
        <w:t>该类报告或证明材料对于投标方胜出乃至中标极为重要！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二、说明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、招标文件、投标文件、答疑文件、技术交流文件、技术协议书等，在采购过程全部为有效文件，如有差异，以对招标方最有利的条款为准。</w:t>
      </w:r>
    </w:p>
    <w:p>
      <w:pPr>
        <w:spacing w:line="360" w:lineRule="auto"/>
        <w:ind w:firstLine="480" w:firstLineChars="200"/>
        <w:rPr>
          <w:rFonts w:hint="eastAsia" w:hAnsi="宋体" w:eastAsia="宋体" w:cs="Times New Roman"/>
          <w:b/>
          <w:color w:val="000000"/>
          <w:sz w:val="24"/>
          <w:szCs w:val="24"/>
        </w:rPr>
      </w:pPr>
      <w:r>
        <w:rPr>
          <w:rFonts w:ascii="宋体" w:hAnsi="宋体" w:eastAsia="宋体" w:cs="宋体"/>
          <w:sz w:val="24"/>
          <w:szCs w:val="24"/>
        </w:rPr>
        <w:t>5</w:t>
      </w:r>
      <w:r>
        <w:rPr>
          <w:rFonts w:hint="eastAsia" w:ascii="宋体" w:hAnsi="宋体" w:eastAsia="宋体" w:cs="宋体"/>
          <w:sz w:val="24"/>
          <w:szCs w:val="24"/>
        </w:rPr>
        <w:t>、为避免歧异，本技术标书涉及招投标环节的条款，均将潜在的卖方称为投标方、将买方称为招标方；定标后合同签署环节以及后续的合同执行环节条款，招标方称为买方、投标方中的中标方称为卖方。</w:t>
      </w:r>
    </w:p>
    <w:p>
      <w:pPr>
        <w:rPr>
          <w:rFonts w:hint="eastAsia" w:hAnsi="宋体" w:eastAsia="宋体" w:cs="Times New Roman"/>
          <w:b/>
          <w:color w:val="000000"/>
          <w:sz w:val="24"/>
          <w:szCs w:val="24"/>
        </w:rPr>
      </w:pPr>
    </w:p>
    <w:p>
      <w:pPr>
        <w:pStyle w:val="143"/>
        <w:rPr>
          <w:rFonts w:hint="eastAsia"/>
        </w:rPr>
      </w:pPr>
    </w:p>
    <w:p>
      <w:pPr>
        <w:pStyle w:val="143"/>
        <w:rPr>
          <w:rFonts w:hint="eastAsia"/>
        </w:rPr>
      </w:pPr>
    </w:p>
    <w:p>
      <w:pPr>
        <w:pStyle w:val="143"/>
        <w:rPr>
          <w:rFonts w:hint="eastAsia"/>
        </w:rPr>
      </w:pPr>
    </w:p>
    <w:p>
      <w:pPr>
        <w:pStyle w:val="143"/>
        <w:rPr>
          <w:rFonts w:hint="eastAsia"/>
        </w:rPr>
      </w:pPr>
    </w:p>
    <w:p>
      <w:pPr>
        <w:pStyle w:val="143"/>
        <w:rPr>
          <w:rFonts w:hint="eastAsia"/>
        </w:rPr>
      </w:pPr>
    </w:p>
    <w:p>
      <w:pPr>
        <w:pStyle w:val="143"/>
        <w:rPr>
          <w:rFonts w:hint="eastAsia"/>
        </w:rPr>
      </w:pPr>
    </w:p>
    <w:p>
      <w:pPr>
        <w:pStyle w:val="143"/>
        <w:rPr>
          <w:rFonts w:hint="eastAsia"/>
        </w:rPr>
      </w:pPr>
    </w:p>
    <w:p>
      <w:pPr>
        <w:pStyle w:val="143"/>
        <w:rPr>
          <w:rFonts w:hint="eastAsia"/>
        </w:rPr>
      </w:pPr>
    </w:p>
    <w:bookmarkEnd w:id="0"/>
    <w:bookmarkEnd w:id="1"/>
    <w:bookmarkEnd w:id="2"/>
    <w:bookmarkEnd w:id="29"/>
    <w:p>
      <w:pPr>
        <w:rPr>
          <w:rFonts w:hAnsi="宋体" w:eastAsia="宋体" w:cs="Times New Roman"/>
          <w:b/>
          <w:color w:val="000000"/>
          <w:sz w:val="24"/>
          <w:szCs w:val="24"/>
        </w:rPr>
      </w:pPr>
      <w:bookmarkStart w:id="32" w:name="_Toc47976609"/>
      <w:bookmarkStart w:id="33" w:name="_Toc20595"/>
    </w:p>
    <w:p>
      <w:pPr>
        <w:pStyle w:val="136"/>
        <w:outlineLvl w:val="1"/>
        <w:rPr>
          <w:rFonts w:hint="eastAsia"/>
        </w:rPr>
      </w:pPr>
    </w:p>
    <w:p>
      <w:pPr>
        <w:pStyle w:val="146"/>
        <w:rPr>
          <w:b/>
          <w:bCs/>
        </w:rPr>
        <w:sectPr>
          <w:footerReference r:id="rId13" w:type="first"/>
          <w:headerReference r:id="rId11" w:type="default"/>
          <w:footerReference r:id="rId12" w:type="default"/>
          <w:pgSz w:w="11906" w:h="16838"/>
          <w:pgMar w:top="1588" w:right="1418" w:bottom="1134" w:left="1418" w:header="851" w:footer="992" w:gutter="0"/>
          <w:pgNumType w:fmt="numberInDash"/>
          <w:cols w:space="720" w:num="1"/>
          <w:titlePg/>
          <w:docGrid w:type="lines" w:linePitch="312" w:charSpace="0"/>
        </w:sectPr>
      </w:pPr>
    </w:p>
    <w:p>
      <w:pPr>
        <w:pStyle w:val="143"/>
      </w:pPr>
      <w:bookmarkStart w:id="34" w:name="_Toc18817"/>
      <w:r>
        <w:rPr>
          <w:rFonts w:hint="eastAsia"/>
        </w:rPr>
        <w:t>第三部分　合同主要条款</w:t>
      </w:r>
      <w:bookmarkEnd w:id="32"/>
      <w:bookmarkEnd w:id="33"/>
      <w:bookmarkEnd w:id="34"/>
    </w:p>
    <w:p>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pPr>
        <w:pStyle w:val="16"/>
        <w:jc w:val="center"/>
      </w:pPr>
      <w:r>
        <w:rPr>
          <w:rFonts w:hint="eastAsia" w:hAnsi="宋体" w:eastAsia="宋体" w:cs="宋体"/>
          <w:b/>
          <w:sz w:val="24"/>
          <w:szCs w:val="24"/>
        </w:rPr>
        <w:t>（合同以双方最终签署的版本为准）</w:t>
      </w:r>
    </w:p>
    <w:p>
      <w:pPr>
        <w:spacing w:line="360" w:lineRule="auto"/>
        <w:jc w:val="both"/>
        <w:rPr>
          <w:rFonts w:hint="eastAsia" w:ascii="方正小标宋简体" w:hAnsi="方正小标宋简体" w:eastAsia="方正小标宋简体" w:cs="方正小标宋简体"/>
          <w:w w:val="90"/>
          <w:sz w:val="56"/>
          <w:szCs w:val="56"/>
          <w:lang w:eastAsia="zh-CN"/>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35" w:name="_Toc21324"/>
      <w:bookmarkStart w:id="36" w:name="_Toc15976"/>
      <w:r>
        <w:rPr>
          <w:rFonts w:hint="eastAsia" w:ascii="黑体" w:hAnsi="黑体" w:eastAsia="黑体" w:cs="黑体"/>
          <w:b w:val="0"/>
          <w:iCs/>
          <w:kern w:val="2"/>
          <w:sz w:val="24"/>
          <w:szCs w:val="24"/>
          <w:lang w:val="en-US" w:eastAsia="zh-CN" w:bidi="ar-SA"/>
        </w:rPr>
        <w:t>1.合同设备标的</w:t>
      </w:r>
      <w:bookmarkEnd w:id="35"/>
      <w:bookmarkEnd w:id="36"/>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37" w:name="_Toc18410"/>
      <w:bookmarkStart w:id="38" w:name="_Toc12732"/>
      <w:r>
        <w:rPr>
          <w:rFonts w:hint="eastAsia" w:ascii="黑体" w:hAnsi="黑体" w:eastAsia="黑体" w:cs="黑体"/>
          <w:b w:val="0"/>
          <w:iCs/>
          <w:kern w:val="2"/>
          <w:sz w:val="24"/>
          <w:szCs w:val="24"/>
          <w:lang w:val="en-US" w:eastAsia="zh-CN" w:bidi="ar-SA"/>
        </w:rPr>
        <w:t>2.结算付款约定</w:t>
      </w:r>
      <w:bookmarkEnd w:id="37"/>
      <w:bookmarkEnd w:id="38"/>
    </w:p>
    <w:p>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3708"/>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0" w:type="auto"/>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0" w:type="auto"/>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0" w:type="auto"/>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39" w:name="_Toc11031"/>
      <w:bookmarkStart w:id="40" w:name="_Toc2420"/>
      <w:r>
        <w:rPr>
          <w:rFonts w:hint="eastAsia" w:ascii="黑体" w:hAnsi="黑体" w:eastAsia="黑体" w:cs="黑体"/>
          <w:b w:val="0"/>
          <w:iCs/>
          <w:kern w:val="2"/>
          <w:sz w:val="24"/>
          <w:szCs w:val="24"/>
          <w:lang w:val="en-US" w:eastAsia="zh-CN" w:bidi="ar-SA"/>
        </w:rPr>
        <w:t>3.生效条款</w:t>
      </w:r>
      <w:bookmarkEnd w:id="39"/>
      <w:bookmarkEnd w:id="40"/>
    </w:p>
    <w:p>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bookmarkStart w:id="41" w:name="_Toc23222"/>
      <w:bookmarkStart w:id="42" w:name="_Toc9882"/>
      <w:r>
        <w:rPr>
          <w:rFonts w:hint="eastAsia" w:ascii="黑体" w:hAnsi="黑体" w:eastAsia="黑体" w:cs="黑体"/>
          <w:b w:val="0"/>
          <w:iCs/>
          <w:kern w:val="2"/>
          <w:sz w:val="24"/>
          <w:szCs w:val="24"/>
          <w:lang w:val="en-US" w:eastAsia="zh-CN" w:bidi="ar-SA"/>
        </w:rPr>
        <w:t>4.特殊约定</w:t>
      </w:r>
      <w:bookmarkEnd w:id="41"/>
      <w:bookmarkEnd w:id="42"/>
    </w:p>
    <w:p>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pPr>
        <w:spacing w:after="0" w:line="360" w:lineRule="auto"/>
        <w:rPr>
          <w:rFonts w:ascii="宋体" w:hAnsi="宋体" w:eastAsia="宋体" w:cs="Times New Roman"/>
          <w:snapToGrid w:val="0"/>
          <w:kern w:val="0"/>
          <w:sz w:val="20"/>
          <w:szCs w:val="20"/>
          <w:lang w:eastAsia="zh-Hans"/>
        </w:rPr>
      </w:pPr>
    </w:p>
    <w:p>
      <w:pPr>
        <w:spacing w:after="0" w:line="360" w:lineRule="auto"/>
        <w:rPr>
          <w:rFonts w:ascii="宋体" w:hAnsi="宋体" w:eastAsia="宋体" w:cs="Times New Roman"/>
          <w:snapToGrid w:val="0"/>
          <w:kern w:val="0"/>
          <w:sz w:val="20"/>
          <w:szCs w:val="20"/>
          <w:lang w:eastAsia="zh-Hans"/>
        </w:rPr>
      </w:pPr>
    </w:p>
    <w:p>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43" w:name="_Toc11192"/>
      <w:bookmarkStart w:id="44" w:name="_Toc11930"/>
      <w:bookmarkStart w:id="45" w:name="_Toc17619"/>
      <w:bookmarkStart w:id="46" w:name="_Toc30215"/>
      <w:bookmarkStart w:id="47" w:name="_Toc11823"/>
      <w:bookmarkStart w:id="48" w:name="_Toc16330018"/>
      <w:r>
        <w:rPr>
          <w:rFonts w:hint="eastAsia" w:ascii="黑体" w:hAnsi="黑体" w:eastAsia="黑体" w:cs="黑体"/>
          <w:b w:val="0"/>
          <w:iCs/>
          <w:kern w:val="2"/>
          <w:sz w:val="24"/>
          <w:szCs w:val="24"/>
          <w:lang w:val="en-US" w:eastAsia="zh-CN" w:bidi="ar-SA"/>
        </w:rPr>
        <w:t>1 合同设备</w:t>
      </w:r>
      <w:bookmarkEnd w:id="43"/>
      <w:bookmarkEnd w:id="44"/>
      <w:bookmarkEnd w:id="45"/>
      <w:bookmarkEnd w:id="46"/>
      <w:bookmarkEnd w:id="47"/>
      <w:bookmarkEnd w:id="48"/>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9" w:name="_Toc32510"/>
      <w:bookmarkStart w:id="50" w:name="_Toc29026"/>
      <w:bookmarkStart w:id="51" w:name="_Toc22800"/>
      <w:r>
        <w:rPr>
          <w:rFonts w:hint="eastAsia" w:ascii="仿宋_GB2312" w:hAnsi="仿宋_GB2312" w:eastAsia="仿宋_GB2312" w:cs="仿宋_GB2312"/>
          <w:sz w:val="24"/>
          <w:szCs w:val="24"/>
        </w:rPr>
        <w:t>本合同约定设备的技术规格详见附件二《技术协议书》。</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2" w:name="_Toc28306"/>
      <w:bookmarkStart w:id="53" w:name="_Toc16330019"/>
      <w:bookmarkStart w:id="54" w:name="_Toc16451"/>
      <w:r>
        <w:rPr>
          <w:rFonts w:hint="eastAsia" w:ascii="黑体" w:hAnsi="黑体" w:eastAsia="黑体" w:cs="黑体"/>
          <w:b w:val="0"/>
          <w:iCs/>
          <w:kern w:val="2"/>
          <w:sz w:val="24"/>
          <w:szCs w:val="24"/>
          <w:lang w:val="en-US" w:eastAsia="zh-CN" w:bidi="ar-SA"/>
        </w:rPr>
        <w:t>2 包装</w:t>
      </w:r>
      <w:bookmarkEnd w:id="49"/>
      <w:bookmarkEnd w:id="50"/>
      <w:bookmarkEnd w:id="51"/>
      <w:bookmarkEnd w:id="52"/>
      <w:bookmarkEnd w:id="53"/>
      <w:bookmarkEnd w:id="54"/>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5" w:name="_Toc27453"/>
      <w:bookmarkStart w:id="56" w:name="_Toc13922"/>
      <w:bookmarkStart w:id="57" w:name="_Toc32306"/>
      <w:bookmarkStart w:id="58" w:name="_Toc16330020"/>
      <w:bookmarkStart w:id="59" w:name="_Toc2833"/>
      <w:bookmarkStart w:id="60" w:name="_Toc27144"/>
      <w:r>
        <w:rPr>
          <w:rFonts w:hint="eastAsia" w:ascii="黑体" w:hAnsi="黑体" w:eastAsia="黑体" w:cs="黑体"/>
          <w:b w:val="0"/>
          <w:iCs/>
          <w:kern w:val="2"/>
          <w:sz w:val="24"/>
          <w:szCs w:val="24"/>
          <w:lang w:val="en-US" w:eastAsia="zh-CN" w:bidi="ar-SA"/>
        </w:rPr>
        <w:t>3 运输标记</w:t>
      </w:r>
      <w:bookmarkEnd w:id="55"/>
      <w:bookmarkEnd w:id="56"/>
      <w:bookmarkEnd w:id="57"/>
      <w:bookmarkEnd w:id="58"/>
      <w:bookmarkEnd w:id="59"/>
      <w:bookmarkEnd w:id="60"/>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1" w:name="_Toc7431"/>
      <w:bookmarkStart w:id="62" w:name="_Toc6516"/>
      <w:bookmarkStart w:id="63" w:name="_Toc16330021"/>
      <w:bookmarkStart w:id="64" w:name="_Toc6783"/>
      <w:bookmarkStart w:id="65" w:name="_Toc10630"/>
      <w:bookmarkStart w:id="66" w:name="_Toc16133"/>
      <w:r>
        <w:rPr>
          <w:rFonts w:hint="eastAsia" w:ascii="黑体" w:hAnsi="黑体" w:eastAsia="黑体" w:cs="黑体"/>
          <w:b w:val="0"/>
          <w:iCs/>
          <w:kern w:val="2"/>
          <w:sz w:val="24"/>
          <w:szCs w:val="24"/>
          <w:lang w:val="en-US" w:eastAsia="zh-CN" w:bidi="ar-SA"/>
        </w:rPr>
        <w:t>4 检验</w:t>
      </w:r>
      <w:bookmarkEnd w:id="61"/>
      <w:bookmarkEnd w:id="62"/>
      <w:bookmarkEnd w:id="63"/>
      <w:bookmarkEnd w:id="64"/>
      <w:bookmarkEnd w:id="65"/>
      <w:bookmarkEnd w:id="66"/>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7" w:name="_Toc19850"/>
      <w:bookmarkStart w:id="68" w:name="_Toc16330022"/>
      <w:bookmarkStart w:id="69" w:name="_Toc24467"/>
      <w:bookmarkStart w:id="70" w:name="_Toc32576"/>
      <w:bookmarkStart w:id="71" w:name="_Toc15840"/>
      <w:bookmarkStart w:id="72" w:name="_Toc11217"/>
      <w:r>
        <w:rPr>
          <w:rFonts w:hint="eastAsia" w:ascii="黑体" w:hAnsi="黑体" w:eastAsia="黑体" w:cs="黑体"/>
          <w:b w:val="0"/>
          <w:iCs/>
          <w:kern w:val="2"/>
          <w:sz w:val="24"/>
          <w:szCs w:val="24"/>
          <w:lang w:val="en-US" w:eastAsia="zh-CN" w:bidi="ar-SA"/>
        </w:rPr>
        <w:t>5 权利担保</w:t>
      </w:r>
      <w:bookmarkEnd w:id="67"/>
      <w:bookmarkEnd w:id="68"/>
      <w:bookmarkEnd w:id="69"/>
      <w:bookmarkEnd w:id="70"/>
      <w:bookmarkEnd w:id="71"/>
      <w:bookmarkEnd w:id="72"/>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3" w:name="_Toc16330023"/>
      <w:bookmarkStart w:id="74" w:name="_Toc19937"/>
      <w:bookmarkStart w:id="75" w:name="_Toc27500"/>
      <w:bookmarkStart w:id="76" w:name="_Toc11759"/>
      <w:bookmarkStart w:id="77" w:name="_Toc4722"/>
      <w:bookmarkStart w:id="78" w:name="_Toc14809"/>
      <w:r>
        <w:rPr>
          <w:rFonts w:hint="eastAsia" w:ascii="黑体" w:hAnsi="黑体" w:eastAsia="黑体" w:cs="黑体"/>
          <w:b w:val="0"/>
          <w:iCs/>
          <w:kern w:val="2"/>
          <w:sz w:val="24"/>
          <w:szCs w:val="24"/>
          <w:lang w:val="en-US" w:eastAsia="zh-CN" w:bidi="ar-SA"/>
        </w:rPr>
        <w:t>6 交货</w:t>
      </w:r>
      <w:bookmarkEnd w:id="73"/>
      <w:bookmarkEnd w:id="74"/>
      <w:bookmarkEnd w:id="75"/>
      <w:bookmarkEnd w:id="76"/>
      <w:bookmarkEnd w:id="77"/>
      <w:bookmarkEnd w:id="78"/>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8024"/>
      <w:bookmarkStart w:id="80" w:name="_Toc13185"/>
      <w:bookmarkStart w:id="81" w:name="_Toc2984"/>
      <w:bookmarkStart w:id="82" w:name="_Toc16330024"/>
      <w:bookmarkStart w:id="83" w:name="_Toc25510"/>
      <w:bookmarkStart w:id="84" w:name="_Toc2348"/>
      <w:r>
        <w:rPr>
          <w:rFonts w:hint="eastAsia" w:ascii="黑体" w:hAnsi="黑体" w:eastAsia="黑体" w:cs="黑体"/>
          <w:b w:val="0"/>
          <w:iCs/>
          <w:kern w:val="2"/>
          <w:sz w:val="24"/>
          <w:szCs w:val="24"/>
          <w:lang w:val="en-US" w:eastAsia="zh-CN" w:bidi="ar-SA"/>
        </w:rPr>
        <w:t>7 安装、调试</w:t>
      </w:r>
      <w:bookmarkEnd w:id="79"/>
      <w:bookmarkEnd w:id="80"/>
      <w:bookmarkEnd w:id="81"/>
      <w:bookmarkEnd w:id="82"/>
      <w:bookmarkEnd w:id="83"/>
      <w:bookmarkEnd w:id="84"/>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5" w:name="_Toc30207"/>
      <w:bookmarkStart w:id="86" w:name="_Toc14260"/>
      <w:bookmarkStart w:id="87" w:name="_Toc16330025"/>
      <w:bookmarkStart w:id="88" w:name="_Toc14098"/>
      <w:bookmarkStart w:id="89" w:name="_Toc6350"/>
      <w:bookmarkStart w:id="90" w:name="_Toc22891"/>
      <w:r>
        <w:rPr>
          <w:rFonts w:hint="eastAsia" w:ascii="黑体" w:hAnsi="黑体" w:eastAsia="黑体" w:cs="黑体"/>
          <w:b w:val="0"/>
          <w:iCs/>
          <w:kern w:val="2"/>
          <w:sz w:val="24"/>
          <w:szCs w:val="24"/>
          <w:lang w:val="en-US" w:eastAsia="zh-CN" w:bidi="ar-SA"/>
        </w:rPr>
        <w:t>8 价款与支付</w:t>
      </w:r>
      <w:bookmarkEnd w:id="85"/>
      <w:bookmarkEnd w:id="86"/>
      <w:bookmarkEnd w:id="87"/>
      <w:bookmarkEnd w:id="88"/>
      <w:bookmarkEnd w:id="89"/>
      <w:bookmarkEnd w:id="90"/>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1" w:name="_Toc25708"/>
      <w:bookmarkStart w:id="92" w:name="_Toc16330026"/>
      <w:bookmarkStart w:id="93" w:name="_Toc23616"/>
      <w:bookmarkStart w:id="94" w:name="_Toc22195"/>
      <w:bookmarkStart w:id="95" w:name="_Toc6726"/>
      <w:bookmarkStart w:id="96" w:name="_Toc24085"/>
      <w:r>
        <w:rPr>
          <w:rFonts w:hint="eastAsia" w:ascii="黑体" w:hAnsi="黑体" w:eastAsia="黑体" w:cs="黑体"/>
          <w:b w:val="0"/>
          <w:iCs/>
          <w:kern w:val="2"/>
          <w:sz w:val="24"/>
          <w:szCs w:val="24"/>
          <w:lang w:val="en-US" w:eastAsia="zh-CN" w:bidi="ar-SA"/>
        </w:rPr>
        <w:t>9 质量保证及售后服务</w:t>
      </w:r>
      <w:bookmarkEnd w:id="91"/>
      <w:bookmarkEnd w:id="92"/>
      <w:bookmarkEnd w:id="93"/>
      <w:bookmarkEnd w:id="94"/>
      <w:bookmarkEnd w:id="95"/>
      <w:bookmarkEnd w:id="96"/>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97" w:name="_Toc10359"/>
      <w:bookmarkStart w:id="98" w:name="_Toc15570"/>
      <w:bookmarkStart w:id="99" w:name="_Toc16330027"/>
      <w:bookmarkStart w:id="100" w:name="_Toc12927"/>
      <w:bookmarkStart w:id="101" w:name="_Toc12415"/>
      <w:bookmarkStart w:id="102" w:name="_Toc19254"/>
      <w:r>
        <w:rPr>
          <w:rFonts w:hint="eastAsia" w:ascii="黑体" w:hAnsi="黑体" w:eastAsia="黑体" w:cs="黑体"/>
          <w:b w:val="0"/>
          <w:iCs/>
          <w:kern w:val="2"/>
          <w:sz w:val="24"/>
          <w:szCs w:val="24"/>
          <w:lang w:val="en-US" w:eastAsia="zh-CN" w:bidi="ar-SA"/>
        </w:rPr>
        <w:t>10法定责任</w:t>
      </w:r>
      <w:bookmarkEnd w:id="97"/>
      <w:bookmarkEnd w:id="98"/>
      <w:bookmarkEnd w:id="99"/>
      <w:bookmarkEnd w:id="100"/>
      <w:r>
        <w:rPr>
          <w:rFonts w:hint="eastAsia" w:ascii="黑体" w:hAnsi="黑体" w:eastAsia="黑体" w:cs="黑体"/>
          <w:b w:val="0"/>
          <w:iCs/>
          <w:kern w:val="2"/>
          <w:sz w:val="24"/>
          <w:szCs w:val="24"/>
          <w:lang w:val="en-US" w:eastAsia="zh-CN" w:bidi="ar-SA"/>
        </w:rPr>
        <w:t>及合规责任</w:t>
      </w:r>
      <w:bookmarkEnd w:id="101"/>
      <w:bookmarkEnd w:id="102"/>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3" w:name="_Toc30381"/>
      <w:bookmarkStart w:id="104" w:name="_Toc9708"/>
      <w:bookmarkStart w:id="105" w:name="_Toc6932"/>
      <w:bookmarkStart w:id="106" w:name="_Toc27314"/>
      <w:bookmarkStart w:id="107" w:name="_Toc22629"/>
      <w:bookmarkStart w:id="108" w:name="_Toc16330028"/>
      <w:r>
        <w:rPr>
          <w:rFonts w:hint="eastAsia" w:ascii="黑体" w:hAnsi="黑体" w:eastAsia="黑体" w:cs="黑体"/>
          <w:b w:val="0"/>
          <w:iCs/>
          <w:kern w:val="2"/>
          <w:sz w:val="24"/>
          <w:szCs w:val="24"/>
          <w:lang w:val="en-US" w:eastAsia="zh-CN" w:bidi="ar-SA"/>
        </w:rPr>
        <w:t>11 违约责任</w:t>
      </w:r>
      <w:bookmarkEnd w:id="103"/>
      <w:bookmarkEnd w:id="104"/>
      <w:bookmarkEnd w:id="105"/>
      <w:bookmarkEnd w:id="106"/>
      <w:bookmarkEnd w:id="107"/>
      <w:bookmarkEnd w:id="108"/>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9" w:name="_Toc8535"/>
      <w:bookmarkStart w:id="110" w:name="_Toc28757"/>
      <w:bookmarkStart w:id="111" w:name="_Toc16330029"/>
      <w:bookmarkStart w:id="112" w:name="_Toc1827"/>
      <w:bookmarkStart w:id="113" w:name="_Toc31554"/>
      <w:bookmarkStart w:id="114" w:name="_Toc9172"/>
      <w:r>
        <w:rPr>
          <w:rFonts w:hint="eastAsia" w:ascii="黑体" w:hAnsi="黑体" w:eastAsia="黑体" w:cs="黑体"/>
          <w:b w:val="0"/>
          <w:iCs/>
          <w:kern w:val="2"/>
          <w:sz w:val="24"/>
          <w:szCs w:val="24"/>
          <w:lang w:val="en-US" w:eastAsia="zh-CN" w:bidi="ar-SA"/>
        </w:rPr>
        <w:t>12 合同的终止与解除</w:t>
      </w:r>
      <w:bookmarkEnd w:id="109"/>
      <w:bookmarkEnd w:id="110"/>
      <w:bookmarkEnd w:id="111"/>
      <w:bookmarkEnd w:id="112"/>
      <w:bookmarkEnd w:id="113"/>
      <w:bookmarkEnd w:id="114"/>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5" w:name="_Toc13671"/>
      <w:bookmarkStart w:id="116" w:name="_Toc8620"/>
      <w:bookmarkStart w:id="117" w:name="_Toc31945"/>
      <w:bookmarkStart w:id="118" w:name="_Toc14575"/>
      <w:bookmarkStart w:id="119" w:name="_Toc31426"/>
      <w:bookmarkStart w:id="120" w:name="_Toc16330030"/>
      <w:r>
        <w:rPr>
          <w:rFonts w:hint="eastAsia" w:ascii="黑体" w:hAnsi="黑体" w:eastAsia="黑体" w:cs="黑体"/>
          <w:b w:val="0"/>
          <w:iCs/>
          <w:kern w:val="2"/>
          <w:sz w:val="24"/>
          <w:szCs w:val="24"/>
          <w:lang w:val="en-US" w:eastAsia="zh-CN" w:bidi="ar-SA"/>
        </w:rPr>
        <w:t>13 不可抗力</w:t>
      </w:r>
      <w:bookmarkEnd w:id="115"/>
      <w:bookmarkEnd w:id="116"/>
      <w:bookmarkEnd w:id="117"/>
      <w:bookmarkEnd w:id="118"/>
      <w:bookmarkEnd w:id="119"/>
      <w:bookmarkEnd w:id="120"/>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1" w:name="_Toc30389"/>
      <w:bookmarkStart w:id="122" w:name="_Toc3849"/>
      <w:bookmarkStart w:id="123" w:name="_Toc31243"/>
      <w:bookmarkStart w:id="124" w:name="_Toc8545"/>
      <w:bookmarkStart w:id="125" w:name="_Toc16330031"/>
      <w:bookmarkStart w:id="126" w:name="_Toc637"/>
      <w:r>
        <w:rPr>
          <w:rFonts w:hint="eastAsia" w:ascii="黑体" w:hAnsi="黑体" w:eastAsia="黑体" w:cs="黑体"/>
          <w:b w:val="0"/>
          <w:iCs/>
          <w:kern w:val="2"/>
          <w:sz w:val="24"/>
          <w:szCs w:val="24"/>
          <w:lang w:val="en-US" w:eastAsia="zh-CN" w:bidi="ar-SA"/>
        </w:rPr>
        <w:t>14 通讯</w:t>
      </w:r>
      <w:bookmarkEnd w:id="121"/>
      <w:bookmarkEnd w:id="122"/>
      <w:bookmarkEnd w:id="123"/>
      <w:bookmarkEnd w:id="124"/>
      <w:bookmarkEnd w:id="125"/>
      <w:bookmarkEnd w:id="126"/>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7" w:name="_Toc16330032"/>
      <w:bookmarkStart w:id="128" w:name="_Toc12984"/>
      <w:bookmarkStart w:id="129" w:name="_Toc11290"/>
      <w:bookmarkStart w:id="130" w:name="_Toc9915"/>
      <w:bookmarkStart w:id="131" w:name="_Toc6534"/>
      <w:bookmarkStart w:id="132" w:name="_Toc28292"/>
      <w:r>
        <w:rPr>
          <w:rFonts w:hint="eastAsia" w:ascii="黑体" w:hAnsi="黑体" w:eastAsia="黑体" w:cs="黑体"/>
          <w:b w:val="0"/>
          <w:iCs/>
          <w:kern w:val="2"/>
          <w:sz w:val="24"/>
          <w:szCs w:val="24"/>
          <w:lang w:val="en-US" w:eastAsia="zh-CN" w:bidi="ar-SA"/>
        </w:rPr>
        <w:t>15 适用法律及争议解决</w:t>
      </w:r>
      <w:bookmarkEnd w:id="127"/>
      <w:bookmarkEnd w:id="128"/>
      <w:bookmarkEnd w:id="129"/>
      <w:bookmarkEnd w:id="130"/>
      <w:bookmarkEnd w:id="131"/>
      <w:bookmarkEnd w:id="132"/>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3" w:name="_Toc18207"/>
      <w:bookmarkStart w:id="134" w:name="_Toc23906"/>
      <w:bookmarkStart w:id="135" w:name="_Toc16330033"/>
      <w:bookmarkStart w:id="136" w:name="_Toc19464"/>
      <w:bookmarkStart w:id="137" w:name="_Toc26977"/>
      <w:bookmarkStart w:id="138" w:name="_Toc23765"/>
      <w:r>
        <w:rPr>
          <w:rFonts w:hint="eastAsia" w:ascii="黑体" w:hAnsi="黑体" w:eastAsia="黑体" w:cs="黑体"/>
          <w:b w:val="0"/>
          <w:iCs/>
          <w:kern w:val="2"/>
          <w:sz w:val="24"/>
          <w:szCs w:val="24"/>
          <w:lang w:val="en-US" w:eastAsia="zh-CN" w:bidi="ar-SA"/>
        </w:rPr>
        <w:t>16 附件</w:t>
      </w:r>
      <w:bookmarkEnd w:id="133"/>
      <w:bookmarkEnd w:id="134"/>
      <w:bookmarkEnd w:id="135"/>
      <w:bookmarkEnd w:id="136"/>
      <w:bookmarkEnd w:id="137"/>
      <w:bookmarkEnd w:id="138"/>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9" w:name="_Toc3303"/>
      <w:bookmarkStart w:id="140" w:name="_Toc17656"/>
      <w:bookmarkStart w:id="141" w:name="_Toc27202"/>
      <w:bookmarkStart w:id="142" w:name="_Toc10952"/>
      <w:bookmarkStart w:id="143" w:name="_Toc16330034"/>
      <w:bookmarkStart w:id="144" w:name="_Toc31331"/>
      <w:r>
        <w:rPr>
          <w:rFonts w:hint="eastAsia" w:ascii="黑体" w:hAnsi="黑体" w:eastAsia="黑体" w:cs="黑体"/>
          <w:b w:val="0"/>
          <w:iCs/>
          <w:kern w:val="2"/>
          <w:sz w:val="24"/>
          <w:szCs w:val="24"/>
          <w:lang w:val="en-US" w:eastAsia="zh-CN" w:bidi="ar-SA"/>
        </w:rPr>
        <w:t>17 其他规定</w:t>
      </w:r>
      <w:bookmarkEnd w:id="139"/>
      <w:bookmarkEnd w:id="140"/>
      <w:bookmarkEnd w:id="141"/>
      <w:bookmarkEnd w:id="142"/>
      <w:bookmarkEnd w:id="143"/>
      <w:bookmarkEnd w:id="144"/>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after="0" w:line="360" w:lineRule="auto"/>
        <w:ind w:firstLine="480" w:firstLineChars="200"/>
        <w:rPr>
          <w:rFonts w:ascii="仿宋_GB2312" w:hAnsi="仿宋_GB2312" w:eastAsia="仿宋_GB2312" w:cs="仿宋_GB2312"/>
          <w:sz w:val="24"/>
          <w:szCs w:val="24"/>
        </w:rPr>
      </w:pPr>
      <w:bookmarkStart w:id="145" w:name="_Toc16330035"/>
      <w:bookmarkStart w:id="146" w:name="_Toc17952"/>
      <w:bookmarkStart w:id="147" w:name="_Toc29136"/>
      <w:bookmarkStart w:id="148"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9" w:name="_Toc5855"/>
      <w:bookmarkStart w:id="150" w:name="_Toc1399"/>
      <w:r>
        <w:rPr>
          <w:rFonts w:hint="eastAsia" w:ascii="黑体" w:hAnsi="黑体" w:eastAsia="黑体" w:cs="黑体"/>
          <w:b w:val="0"/>
          <w:iCs/>
          <w:kern w:val="2"/>
          <w:sz w:val="24"/>
          <w:szCs w:val="24"/>
          <w:lang w:val="en-US" w:eastAsia="zh-CN" w:bidi="ar-SA"/>
        </w:rPr>
        <w:t>18 签署事项</w:t>
      </w:r>
      <w:bookmarkEnd w:id="145"/>
      <w:bookmarkEnd w:id="146"/>
      <w:bookmarkEnd w:id="147"/>
      <w:bookmarkEnd w:id="148"/>
      <w:bookmarkEnd w:id="149"/>
      <w:bookmarkEnd w:id="150"/>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pPr>
        <w:rPr>
          <w:rFonts w:hint="eastAsia" w:ascii="黑体" w:hAnsi="黑体" w:eastAsia="黑体" w:cs="宋体"/>
          <w:sz w:val="28"/>
          <w:szCs w:val="28"/>
        </w:rPr>
      </w:pPr>
      <w:r>
        <w:rPr>
          <w:rFonts w:hint="eastAsia" w:ascii="黑体" w:hAnsi="黑体" w:eastAsia="黑体" w:cs="宋体"/>
          <w:sz w:val="28"/>
          <w:szCs w:val="28"/>
        </w:rPr>
        <w:br w:type="page"/>
      </w:r>
    </w:p>
    <w:p>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86"/>
        <w:gridCol w:w="2106"/>
        <w:gridCol w:w="636"/>
        <w:gridCol w:w="636"/>
        <w:gridCol w:w="846"/>
        <w:gridCol w:w="636"/>
        <w:gridCol w:w="636"/>
        <w:gridCol w:w="636"/>
        <w:gridCol w:w="63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r>
    </w:tbl>
    <w:p>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pPr>
        <w:spacing w:after="0" w:line="240" w:lineRule="auto"/>
        <w:rPr>
          <w:rFonts w:ascii="宋体" w:hAnsi="宋体" w:eastAsia="宋体" w:cs="宋体"/>
          <w:sz w:val="20"/>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pPr>
        <w:pStyle w:val="143"/>
        <w:rPr>
          <w:rFonts w:hint="default" w:eastAsia="黑体"/>
          <w:lang w:val="en-US" w:eastAsia="zh-CN"/>
        </w:rPr>
      </w:pPr>
      <w:bookmarkStart w:id="151" w:name="_Toc47976615"/>
      <w:bookmarkStart w:id="152" w:name="_Toc21485"/>
      <w:bookmarkStart w:id="153" w:name="_Toc5925"/>
      <w:r>
        <w:rPr>
          <w:rFonts w:hint="eastAsia"/>
        </w:rPr>
        <w:t>第四部分　</w:t>
      </w:r>
      <w:bookmarkEnd w:id="151"/>
      <w:r>
        <w:rPr>
          <w:rFonts w:hint="eastAsia"/>
          <w:lang w:val="en-US" w:eastAsia="zh-CN"/>
        </w:rPr>
        <w:t>投标文件附件</w:t>
      </w:r>
      <w:bookmarkEnd w:id="152"/>
      <w:bookmarkEnd w:id="153"/>
    </w:p>
    <w:p>
      <w:pPr>
        <w:pStyle w:val="143"/>
        <w:jc w:val="left"/>
        <w:rPr>
          <w:rFonts w:hint="eastAsia" w:ascii="宋体" w:hAnsi="宋体" w:eastAsia="宋体" w:cs="宋体"/>
          <w:sz w:val="32"/>
          <w:szCs w:val="32"/>
          <w:highlight w:val="none"/>
          <w:lang w:eastAsia="zh-CN"/>
        </w:rPr>
      </w:pPr>
      <w:bookmarkStart w:id="154" w:name="_Toc4225"/>
      <w:bookmarkStart w:id="155" w:name="_Toc47976616"/>
      <w:bookmarkStart w:id="156" w:name="_Toc17167"/>
      <w:bookmarkStart w:id="157" w:name="_Toc78"/>
      <w:r>
        <w:rPr>
          <w:rFonts w:hint="eastAsia" w:ascii="宋体" w:hAnsi="宋体" w:eastAsia="宋体" w:cs="宋体"/>
          <w:sz w:val="32"/>
          <w:szCs w:val="32"/>
          <w:highlight w:val="none"/>
        </w:rPr>
        <w:t>附件</w:t>
      </w:r>
      <w:bookmarkEnd w:id="154"/>
      <w:bookmarkEnd w:id="155"/>
      <w:r>
        <w:rPr>
          <w:rFonts w:hint="eastAsia" w:ascii="宋体" w:hAnsi="宋体" w:eastAsia="宋体" w:cs="宋体"/>
          <w:sz w:val="32"/>
          <w:szCs w:val="32"/>
          <w:highlight w:val="none"/>
          <w:lang w:val="en-US" w:eastAsia="zh-CN"/>
        </w:rPr>
        <w:t>1</w:t>
      </w:r>
      <w:bookmarkEnd w:id="156"/>
      <w:bookmarkEnd w:id="157"/>
    </w:p>
    <w:p>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eastAsia="宋体" w:cs="Times New Roman"/>
          <w:color w:val="000000"/>
          <w:sz w:val="24"/>
          <w:szCs w:val="24"/>
          <w:highlight w:val="none"/>
          <w:lang w:val="en-US" w:eastAsia="zh-CN"/>
        </w:rPr>
        <w:t>济南商用车</w:t>
      </w:r>
      <w:r>
        <w:rPr>
          <w:rFonts w:hint="eastAsia" w:ascii="宋体" w:hAnsi="宋体" w:eastAsia="宋体" w:cs="Times New Roman"/>
          <w:color w:val="000000"/>
          <w:sz w:val="24"/>
          <w:szCs w:val="24"/>
          <w:highlight w:val="none"/>
        </w:rPr>
        <w:t>有限公司：</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b/>
          <w:bCs/>
          <w:color w:val="000000"/>
          <w:sz w:val="24"/>
          <w:szCs w:val="24"/>
          <w:highlight w:val="yellow"/>
          <w:u w:val="single"/>
          <w:lang w:val="en-US" w:eastAsia="zh-CN"/>
        </w:rPr>
        <w:t>济南轻卡制造公司轻卡焊装线KD改造项目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pPr>
        <w:rPr>
          <w:rFonts w:ascii="黑体" w:hAnsi="Calibri" w:eastAsia="黑体" w:cs="Times New Roman"/>
          <w:color w:val="000000"/>
          <w:sz w:val="24"/>
          <w:szCs w:val="24"/>
          <w:highlight w:val="none"/>
        </w:rPr>
      </w:pPr>
    </w:p>
    <w:p>
      <w:pPr>
        <w:jc w:val="both"/>
        <w:rPr>
          <w:rFonts w:ascii="宋体"/>
          <w:b/>
          <w:color w:val="000000"/>
          <w:szCs w:val="24"/>
          <w:highlight w:val="none"/>
        </w:rPr>
      </w:pPr>
    </w:p>
    <w:p>
      <w:pPr>
        <w:pStyle w:val="144"/>
        <w:numPr>
          <w:ilvl w:val="0"/>
          <w:numId w:val="0"/>
        </w:numPr>
        <w:ind w:leftChars="0"/>
        <w:rPr>
          <w:rFonts w:hint="eastAsia" w:ascii="宋体" w:hAnsi="宋体" w:eastAsia="宋体" w:cs="宋体"/>
          <w:sz w:val="32"/>
          <w:szCs w:val="32"/>
          <w:highlight w:val="none"/>
          <w:lang w:val="en-US" w:eastAsia="zh-CN"/>
        </w:rPr>
      </w:pPr>
      <w:bookmarkStart w:id="158" w:name="_Toc47976618"/>
      <w:bookmarkStart w:id="159" w:name="_Toc29366869"/>
      <w:bookmarkStart w:id="160" w:name="_Toc29366865"/>
      <w:r>
        <w:rPr>
          <w:rFonts w:hint="eastAsia" w:ascii="宋体" w:hAnsi="宋体" w:eastAsia="宋体" w:cs="宋体"/>
          <w:sz w:val="32"/>
          <w:szCs w:val="32"/>
          <w:highlight w:val="none"/>
          <w:lang w:val="en-US" w:eastAsia="zh-CN"/>
        </w:rPr>
        <w:t>附件2</w:t>
      </w:r>
      <w:bookmarkEnd w:id="158"/>
    </w:p>
    <w:p>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w:t>
      </w:r>
      <w:r>
        <w:rPr>
          <w:rFonts w:hint="eastAsia" w:ascii="宋体" w:hAnsi="宋体" w:eastAsia="宋体" w:cs="Times New Roman"/>
          <w:color w:val="auto"/>
          <w:sz w:val="24"/>
          <w:szCs w:val="24"/>
        </w:rPr>
        <w:t>全称）的法定代表人，就</w:t>
      </w:r>
      <w:r>
        <w:rPr>
          <w:rFonts w:hint="eastAsia" w:ascii="宋体" w:hAnsi="宋体" w:eastAsia="宋体" w:cs="Times New Roman"/>
          <w:b/>
          <w:bCs/>
          <w:color w:val="FF0000"/>
          <w:sz w:val="24"/>
          <w:szCs w:val="24"/>
          <w:highlight w:val="yellow"/>
          <w:u w:val="single"/>
          <w:lang w:val="en-US" w:eastAsia="zh-CN"/>
        </w:rPr>
        <w:t>济南轻卡制造公司轻卡焊装线KD改造项目</w:t>
      </w:r>
      <w:r>
        <w:rPr>
          <w:rFonts w:hint="eastAsia" w:ascii="宋体" w:hAnsi="宋体" w:eastAsia="宋体" w:cs="宋体"/>
          <w:b/>
          <w:bCs/>
          <w:color w:val="FF0000"/>
          <w:sz w:val="24"/>
          <w:szCs w:val="24"/>
          <w:u w:val="single"/>
          <w:lang w:val="en-US" w:eastAsia="zh-CN"/>
        </w:rPr>
        <w:t>（ZBGL2026030180</w:t>
      </w:r>
      <w:r>
        <w:rPr>
          <w:rFonts w:hint="eastAsia" w:ascii="宋体" w:hAnsi="宋体" w:eastAsia="宋体" w:cs="Times New Roman"/>
          <w:color w:val="FF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pStyle w:val="16"/>
      </w:pPr>
    </w:p>
    <w:p>
      <w:pPr>
        <w:spacing w:line="360" w:lineRule="auto"/>
        <w:rPr>
          <w:rFonts w:ascii="宋体" w:hAnsi="宋体" w:cs="宋体"/>
          <w:sz w:val="24"/>
          <w:szCs w:val="21"/>
        </w:rPr>
      </w:pPr>
    </w:p>
    <w:bookmarkEnd w:id="159"/>
    <w:bookmarkEnd w:id="160"/>
    <w:p>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rPr>
            </w:pPr>
          </w:p>
        </w:tc>
        <w:tc>
          <w:tcPr>
            <w:tcW w:w="1310" w:type="dxa"/>
          </w:tcPr>
          <w:p>
            <w:pPr>
              <w:pStyle w:val="135"/>
              <w:spacing w:before="106"/>
              <w:ind w:left="154" w:right="26"/>
              <w:jc w:val="center"/>
              <w:rPr>
                <w:color w:val="000000" w:themeColor="text1"/>
              </w:rPr>
            </w:pPr>
            <w:r>
              <w:rPr>
                <w:color w:val="000000" w:themeColor="text1"/>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rPr>
            </w:pPr>
          </w:p>
        </w:tc>
        <w:tc>
          <w:tcPr>
            <w:tcW w:w="1310" w:type="dxa"/>
          </w:tcPr>
          <w:p>
            <w:pPr>
              <w:pStyle w:val="135"/>
              <w:spacing w:before="106"/>
              <w:ind w:left="154" w:right="26"/>
              <w:jc w:val="center"/>
              <w:rPr>
                <w:color w:val="000000" w:themeColor="text1"/>
              </w:rPr>
            </w:pPr>
            <w:r>
              <w:rPr>
                <w:color w:val="000000" w:themeColor="text1"/>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rPr>
            </w:pPr>
          </w:p>
        </w:tc>
        <w:tc>
          <w:tcPr>
            <w:tcW w:w="1310" w:type="dxa"/>
          </w:tcPr>
          <w:p>
            <w:pPr>
              <w:pStyle w:val="135"/>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pPr>
              <w:widowControl/>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pPr>
              <w:pStyle w:val="135"/>
              <w:spacing w:before="103"/>
              <w:ind w:right="26"/>
              <w:jc w:val="center"/>
              <w:rPr>
                <w:color w:val="000000" w:themeColor="text1"/>
              </w:rPr>
            </w:pPr>
            <w:r>
              <w:rPr>
                <w:color w:val="000000" w:themeColor="text1"/>
              </w:rPr>
              <w:t>企业资质</w:t>
            </w:r>
          </w:p>
        </w:tc>
        <w:tc>
          <w:tcPr>
            <w:tcW w:w="1510" w:type="dxa"/>
            <w:vAlign w:val="center"/>
          </w:tcPr>
          <w:p>
            <w:pPr>
              <w:widowControl/>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rPr>
          <w:rFonts w:hAnsi="宋体" w:eastAsia="宋体" w:cs="宋体"/>
          <w:spacing w:val="-9"/>
          <w:sz w:val="24"/>
          <w:szCs w:val="24"/>
        </w:rPr>
      </w:pPr>
      <w:r>
        <w:rPr>
          <w:rFonts w:hAnsi="宋体" w:eastAsia="宋体" w:cs="宋体"/>
          <w:spacing w:val="-9"/>
          <w:sz w:val="24"/>
          <w:szCs w:val="24"/>
        </w:rPr>
        <w:br w:type="page"/>
      </w: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ascii="宋体" w:hAnsi="宋体" w:eastAsia="宋体" w:cs="Times New Roman"/>
          <w:sz w:val="24"/>
          <w:szCs w:val="20"/>
        </w:rPr>
      </w:pPr>
      <w:r>
        <w:rPr>
          <w:rFonts w:hint="eastAsia" w:ascii="宋体" w:hAnsi="宋体" w:eastAsia="宋体" w:cs="Times New Roman"/>
          <w:sz w:val="24"/>
          <w:szCs w:val="20"/>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hint="eastAsia" w:ascii="Times New Roman" w:hAnsi="Times New Roman" w:eastAsia="宋体" w:cs="Times New Roman"/>
          <w:b/>
          <w:bCs/>
          <w:color w:val="000000"/>
          <w:sz w:val="24"/>
          <w:szCs w:val="24"/>
        </w:rPr>
        <w:sectPr>
          <w:footerReference r:id="rId14" w:type="default"/>
          <w:pgSz w:w="11907" w:h="16841"/>
          <w:pgMar w:top="1587" w:right="1417" w:bottom="1134" w:left="1417" w:header="0" w:footer="990" w:gutter="0"/>
          <w:pgNumType w:fmt="numberInDash"/>
          <w:cols w:equalWidth="0" w:num="1">
            <w:col w:w="13980"/>
          </w:cols>
        </w:sectPr>
      </w:pPr>
    </w:p>
    <w:p>
      <w:pPr>
        <w:rPr>
          <w:rFonts w:hint="eastAsia"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w:t>
      </w:r>
      <w:r>
        <w:rPr>
          <w:rFonts w:hint="eastAsia" w:ascii="Times New Roman" w:hAnsi="Times New Roman" w:eastAsia="宋体" w:cs="宋体"/>
          <w:b/>
          <w:bCs/>
          <w:color w:val="000000"/>
          <w:sz w:val="24"/>
          <w:szCs w:val="24"/>
          <w:highlight w:val="none"/>
        </w:rPr>
        <w:t>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rPr>
        <w:t>设</w:t>
      </w:r>
      <w:r>
        <w:rPr>
          <w:rFonts w:ascii="宋体" w:hAnsi="宋体" w:eastAsia="宋体" w:cs="宋体"/>
          <w:spacing w:val="8"/>
          <w:sz w:val="24"/>
          <w:szCs w:val="24"/>
          <w:highlight w:val="none"/>
        </w:rPr>
        <w:t>备分项</w:t>
      </w:r>
      <w:r>
        <w:rPr>
          <w:rFonts w:hint="eastAsia" w:ascii="宋体" w:hAnsi="宋体" w:eastAsia="宋体" w:cs="宋体"/>
          <w:spacing w:val="8"/>
          <w:sz w:val="24"/>
          <w:szCs w:val="24"/>
          <w:highlight w:val="none"/>
          <w:lang w:val="en-US" w:eastAsia="zh-CN"/>
        </w:rPr>
        <w:t>配置</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rPr>
        <w:t>设</w:t>
      </w:r>
      <w:r>
        <w:rPr>
          <w:rFonts w:ascii="宋体" w:hAnsi="宋体" w:eastAsia="宋体" w:cs="宋体"/>
          <w:spacing w:val="8"/>
          <w:sz w:val="24"/>
          <w:szCs w:val="24"/>
          <w:highlight w:val="none"/>
        </w:rPr>
        <w:t>备分项</w:t>
      </w:r>
      <w:r>
        <w:rPr>
          <w:rFonts w:hint="eastAsia" w:ascii="宋体" w:hAnsi="宋体" w:eastAsia="宋体" w:cs="宋体"/>
          <w:spacing w:val="8"/>
          <w:sz w:val="24"/>
          <w:szCs w:val="24"/>
          <w:highlight w:val="none"/>
          <w:lang w:val="en-US" w:eastAsia="zh-CN"/>
        </w:rPr>
        <w:t>配置</w:t>
      </w:r>
      <w:r>
        <w:rPr>
          <w:rFonts w:ascii="宋体" w:hAnsi="宋体" w:eastAsia="宋体" w:cs="宋体"/>
          <w:spacing w:val="8"/>
          <w:sz w:val="24"/>
          <w:szCs w:val="24"/>
          <w:highlight w:val="none"/>
        </w:rPr>
        <w:t>表</w:t>
      </w:r>
    </w:p>
    <w:p>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p>
    <w:tbl>
      <w:tblPr>
        <w:tblStyle w:val="133"/>
        <w:tblW w:w="13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2579"/>
        <w:gridCol w:w="2580"/>
        <w:gridCol w:w="1538"/>
        <w:gridCol w:w="2102"/>
        <w:gridCol w:w="2722"/>
        <w:gridCol w:w="15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74" w:type="dxa"/>
          </w:tcPr>
          <w:p>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2579" w:type="dxa"/>
          </w:tcPr>
          <w:p>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2580" w:type="dxa"/>
          </w:tcPr>
          <w:p>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538" w:type="dxa"/>
          </w:tcPr>
          <w:p>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2102" w:type="dxa"/>
          </w:tcPr>
          <w:p>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2722" w:type="dxa"/>
            <w:tcBorders>
              <w:left w:val="single" w:color="000000" w:sz="4" w:space="0"/>
            </w:tcBorders>
          </w:tcPr>
          <w:p>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561" w:type="dxa"/>
          </w:tcPr>
          <w:p>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74" w:type="dxa"/>
            <w:vAlign w:val="center"/>
          </w:tcPr>
          <w:p>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579" w:type="dxa"/>
            <w:vAlign w:val="center"/>
          </w:tcPr>
          <w:p>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2580" w:type="dxa"/>
            <w:vAlign w:val="center"/>
          </w:tcPr>
          <w:p>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538" w:type="dxa"/>
            <w:vAlign w:val="center"/>
          </w:tcPr>
          <w:p>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单位</w:t>
            </w:r>
          </w:p>
        </w:tc>
        <w:tc>
          <w:tcPr>
            <w:tcW w:w="2102" w:type="dxa"/>
            <w:vAlign w:val="center"/>
          </w:tcPr>
          <w:p>
            <w:pPr>
              <w:spacing w:before="0" w:line="221" w:lineRule="auto"/>
              <w:ind w:left="0" w:right="0" w:firstLine="0"/>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rPr>
              <w:t>数量</w:t>
            </w:r>
          </w:p>
        </w:tc>
        <w:tc>
          <w:tcPr>
            <w:tcW w:w="272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561" w:type="dxa"/>
            <w:vAlign w:val="center"/>
          </w:tcPr>
          <w:p>
            <w:pPr>
              <w:spacing w:before="0" w:line="221" w:lineRule="auto"/>
              <w:ind w:firstLine="0" w:firstLineChars="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1</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2</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3</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4</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5</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6</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7</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8</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774" w:type="dxa"/>
          </w:tcPr>
          <w:p>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579" w:type="dxa"/>
          </w:tcPr>
          <w:p>
            <w:pPr>
              <w:rPr>
                <w:rFonts w:ascii="Arial"/>
                <w:highlight w:val="none"/>
              </w:rPr>
            </w:pPr>
            <w:r>
              <w:rPr>
                <w:rFonts w:hint="eastAsia" w:ascii="宋体" w:hAnsi="宋体" w:eastAsia="宋体" w:cs="宋体"/>
                <w:highlight w:val="none"/>
              </w:rPr>
              <w:t>以上投标设备不足之处请往下添加序号自行补充</w:t>
            </w:r>
          </w:p>
        </w:tc>
        <w:tc>
          <w:tcPr>
            <w:tcW w:w="2580" w:type="dxa"/>
          </w:tcPr>
          <w:p>
            <w:pPr>
              <w:rPr>
                <w:rFonts w:ascii="Arial"/>
                <w:highlight w:val="none"/>
              </w:rPr>
            </w:pPr>
          </w:p>
        </w:tc>
        <w:tc>
          <w:tcPr>
            <w:tcW w:w="1538" w:type="dxa"/>
          </w:tcPr>
          <w:p>
            <w:pPr>
              <w:rPr>
                <w:rFonts w:ascii="Arial"/>
                <w:highlight w:val="none"/>
              </w:rPr>
            </w:pPr>
          </w:p>
        </w:tc>
        <w:tc>
          <w:tcPr>
            <w:tcW w:w="2102" w:type="dxa"/>
          </w:tcPr>
          <w:p>
            <w:pPr>
              <w:rPr>
                <w:rFonts w:ascii="Arial"/>
                <w:highlight w:val="none"/>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bl>
    <w:p>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ectPr>
          <w:pgSz w:w="16841" w:h="11907" w:orient="landscape"/>
          <w:pgMar w:top="1417" w:right="1587" w:bottom="1417" w:left="1134" w:header="0" w:footer="990" w:gutter="0"/>
          <w:pgNumType w:fmt="numberInDash"/>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numberInDash"/>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tbl>
      <w:tblPr>
        <w:tblStyle w:val="36"/>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b/>
          <w:bCs/>
          <w:color w:val="000000"/>
          <w:sz w:val="24"/>
          <w:szCs w:val="24"/>
          <w:highlight w:val="yellow"/>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tbl>
      <w:tblPr>
        <w:tblStyle w:val="36"/>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449"/>
        <w:gridCol w:w="1042"/>
        <w:gridCol w:w="1398"/>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44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4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pPr>
              <w:jc w:val="center"/>
              <w:rPr>
                <w:rFonts w:hint="default" w:ascii="Times New Roman" w:hAnsi="Times New Roman" w:eastAsia="宋体" w:cs="Times New Roman"/>
                <w:b/>
                <w:szCs w:val="20"/>
                <w:lang w:val="en-US" w:eastAsia="zh-CN"/>
              </w:rPr>
            </w:pPr>
            <w:r>
              <w:rPr>
                <w:rFonts w:hint="eastAsia" w:ascii="宋体" w:hAnsi="宋体" w:eastAsia="宋体" w:cs="Times New Roman"/>
                <w:b w:val="0"/>
                <w:bCs w:val="0"/>
                <w:color w:val="000000"/>
                <w:sz w:val="24"/>
                <w:szCs w:val="24"/>
                <w:highlight w:val="yellow"/>
                <w:u w:val="none"/>
                <w:lang w:val="en-US" w:eastAsia="zh-CN"/>
              </w:rPr>
              <w:t>济南轻卡制造公司轻卡焊装线KD改造项目</w:t>
            </w:r>
          </w:p>
        </w:tc>
        <w:tc>
          <w:tcPr>
            <w:tcW w:w="7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449"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42" w:type="dxa"/>
            <w:vAlign w:val="center"/>
          </w:tcPr>
          <w:p>
            <w:pPr>
              <w:jc w:val="center"/>
              <w:rPr>
                <w:rFonts w:ascii="Times New Roman" w:hAnsi="Times New Roman" w:eastAsia="宋体" w:cs="Times New Roman"/>
                <w:b/>
                <w:szCs w:val="20"/>
              </w:rPr>
            </w:pPr>
          </w:p>
        </w:tc>
        <w:tc>
          <w:tcPr>
            <w:tcW w:w="1398"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16"/>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pgNumType w:fmt="numberInDash"/>
          <w:cols w:space="720" w:num="1"/>
          <w:titlePg/>
          <w:docGrid w:type="lines" w:linePitch="312" w:charSpace="0"/>
        </w:sectPr>
      </w:pPr>
    </w:p>
    <w:p>
      <w:pPr>
        <w:pStyle w:val="4"/>
        <w:spacing w:after="0" w:line="240" w:lineRule="auto"/>
        <w:jc w:val="left"/>
        <w:rPr>
          <w:rFonts w:ascii="宋体" w:hAnsi="宋体" w:cs="宋体"/>
          <w:spacing w:val="8"/>
          <w:sz w:val="24"/>
          <w:szCs w:val="24"/>
        </w:rPr>
      </w:pPr>
      <w:r>
        <w:rPr>
          <w:rFonts w:hint="eastAsia" w:ascii="宋体" w:hAnsi="宋体" w:cs="宋体"/>
          <w:color w:val="000000"/>
          <w:sz w:val="24"/>
          <w:szCs w:val="24"/>
        </w:rPr>
        <w:t xml:space="preserve">附件9 </w:t>
      </w:r>
      <w:r>
        <w:rPr>
          <w:rFonts w:ascii="宋体" w:hAnsi="宋体" w:cs="宋体"/>
          <w:spacing w:val="13"/>
          <w:sz w:val="24"/>
          <w:szCs w:val="24"/>
        </w:rPr>
        <w:t>设</w:t>
      </w:r>
      <w:r>
        <w:rPr>
          <w:rFonts w:ascii="宋体" w:hAnsi="宋体" w:cs="宋体"/>
          <w:spacing w:val="8"/>
          <w:sz w:val="24"/>
          <w:szCs w:val="24"/>
        </w:rPr>
        <w:t>备分项报价表</w:t>
      </w:r>
    </w:p>
    <w:p>
      <w:pPr>
        <w:pStyle w:val="5"/>
        <w:spacing w:after="0"/>
      </w:pPr>
      <w:r>
        <w:rPr>
          <w:rFonts w:ascii="宋体" w:hAnsi="宋体" w:eastAsia="宋体" w:cs="宋体"/>
          <w:spacing w:val="-9"/>
          <w:sz w:val="24"/>
          <w:szCs w:val="24"/>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9</w:t>
      </w:r>
      <w:r>
        <w:rPr>
          <w:rFonts w:ascii="宋体" w:hAnsi="宋体" w:eastAsia="宋体" w:cs="宋体"/>
          <w:spacing w:val="-7"/>
          <w:sz w:val="24"/>
          <w:szCs w:val="24"/>
        </w:rPr>
        <w:t>-1</w:t>
      </w:r>
    </w:p>
    <w:p>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第   页</w:t>
      </w:r>
      <w:r>
        <w:rPr>
          <w:rFonts w:hint="eastAsia" w:ascii="宋体" w:hAnsi="宋体" w:eastAsia="宋体" w:cs="宋体"/>
          <w:szCs w:val="21"/>
        </w:rPr>
        <w:t xml:space="preserve"> </w:t>
      </w:r>
      <w:r>
        <w:rPr>
          <w:rFonts w:ascii="宋体" w:hAnsi="宋体" w:eastAsia="宋体" w:cs="宋体"/>
          <w:szCs w:val="21"/>
        </w:rPr>
        <w:t>共</w:t>
      </w:r>
      <w:r>
        <w:rPr>
          <w:rFonts w:hint="eastAsia" w:ascii="宋体" w:hAnsi="宋体" w:eastAsia="宋体" w:cs="宋体"/>
          <w:szCs w:val="21"/>
        </w:rPr>
        <w:t xml:space="preserve">  </w:t>
      </w:r>
      <w:r>
        <w:rPr>
          <w:rFonts w:ascii="宋体" w:hAnsi="宋体" w:eastAsia="宋体" w:cs="宋体"/>
          <w:szCs w:val="21"/>
        </w:rPr>
        <w:t>页</w:t>
      </w:r>
    </w:p>
    <w:tbl>
      <w:tblPr>
        <w:tblStyle w:val="13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textAlignment w:val="auto"/>
              <w:rPr>
                <w:rFonts w:ascii="Arial"/>
              </w:rPr>
            </w:pPr>
          </w:p>
        </w:tc>
        <w:tc>
          <w:tcPr>
            <w:tcW w:w="964" w:type="dxa"/>
          </w:tcPr>
          <w:p>
            <w:pPr>
              <w:pageBreakBefore w:val="0"/>
              <w:widowControl w:val="0"/>
              <w:kinsoku/>
              <w:wordWrap/>
              <w:overflowPunct/>
              <w:topLinePunct w:val="0"/>
              <w:autoSpaceDE/>
              <w:autoSpaceDN/>
              <w:bidi w:val="0"/>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pPr>
              <w:pageBreakBefore w:val="0"/>
              <w:widowControl w:val="0"/>
              <w:kinsoku/>
              <w:wordWrap/>
              <w:overflowPunct/>
              <w:topLinePunct w:val="0"/>
              <w:autoSpaceDE/>
              <w:autoSpaceDN/>
              <w:bidi w:val="0"/>
              <w:spacing w:after="0"/>
              <w:textAlignment w:val="auto"/>
              <w:rPr>
                <w:rFonts w:ascii="Arial"/>
              </w:rPr>
            </w:pPr>
          </w:p>
        </w:tc>
        <w:tc>
          <w:tcPr>
            <w:tcW w:w="964" w:type="dxa"/>
          </w:tcPr>
          <w:p>
            <w:pPr>
              <w:pageBreakBefore w:val="0"/>
              <w:widowControl w:val="0"/>
              <w:kinsoku/>
              <w:wordWrap/>
              <w:overflowPunct/>
              <w:topLinePunct w:val="0"/>
              <w:autoSpaceDE/>
              <w:autoSpaceDN/>
              <w:bidi w:val="0"/>
              <w:spacing w:after="0"/>
              <w:textAlignment w:val="auto"/>
              <w:rPr>
                <w:rFonts w:ascii="Arial"/>
              </w:rPr>
            </w:pPr>
          </w:p>
        </w:tc>
      </w:tr>
    </w:tbl>
    <w:p>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pPr>
        <w:rPr>
          <w:rFonts w:ascii="宋体" w:hAnsi="宋体" w:eastAsia="宋体" w:cs="宋体"/>
          <w:sz w:val="24"/>
          <w:szCs w:val="24"/>
        </w:rPr>
      </w:pPr>
    </w:p>
    <w:p>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9-2</w:t>
      </w:r>
    </w:p>
    <w:p>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rPr>
        <w:t>运</w:t>
      </w:r>
      <w:r>
        <w:rPr>
          <w:rFonts w:ascii="宋体" w:hAnsi="宋体" w:eastAsia="宋体" w:cs="宋体"/>
          <w:spacing w:val="9"/>
          <w:sz w:val="24"/>
          <w:szCs w:val="24"/>
        </w:rPr>
        <w:t>输及服务分项报价表</w:t>
      </w:r>
    </w:p>
    <w:p>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pageBreakBefore w:val="0"/>
              <w:widowControl w:val="0"/>
              <w:kinsoku/>
              <w:wordWrap/>
              <w:overflowPunct/>
              <w:topLinePunct w:val="0"/>
              <w:autoSpaceDE/>
              <w:autoSpaceDN/>
              <w:bidi w:val="0"/>
              <w:adjustRightInd/>
              <w:snapToGrid/>
              <w:spacing w:after="0" w:line="296" w:lineRule="auto"/>
              <w:textAlignment w:val="auto"/>
              <w:rPr>
                <w:rFonts w:ascii="Arial"/>
              </w:rPr>
            </w:pPr>
          </w:p>
          <w:p>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pPr>
              <w:pageBreakBefore w:val="0"/>
              <w:widowControl w:val="0"/>
              <w:kinsoku/>
              <w:wordWrap/>
              <w:overflowPunct/>
              <w:topLinePunct w:val="0"/>
              <w:autoSpaceDE/>
              <w:autoSpaceDN/>
              <w:bidi w:val="0"/>
              <w:adjustRightInd/>
              <w:snapToGrid/>
              <w:spacing w:after="0" w:line="295" w:lineRule="auto"/>
              <w:textAlignment w:val="auto"/>
              <w:rPr>
                <w:rFonts w:ascii="Arial"/>
              </w:rPr>
            </w:pPr>
          </w:p>
          <w:p>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pPr>
              <w:pageBreakBefore w:val="0"/>
              <w:widowControl w:val="0"/>
              <w:kinsoku/>
              <w:wordWrap/>
              <w:overflowPunct/>
              <w:topLinePunct w:val="0"/>
              <w:autoSpaceDE/>
              <w:autoSpaceDN/>
              <w:bidi w:val="0"/>
              <w:adjustRightInd/>
              <w:snapToGrid/>
              <w:spacing w:after="0" w:line="295" w:lineRule="auto"/>
              <w:textAlignment w:val="auto"/>
              <w:rPr>
                <w:rFonts w:ascii="Arial"/>
              </w:rPr>
            </w:pPr>
          </w:p>
          <w:p>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pageBreakBefore w:val="0"/>
        <w:widowControl w:val="0"/>
        <w:kinsoku/>
        <w:wordWrap/>
        <w:overflowPunct/>
        <w:topLinePunct w:val="0"/>
        <w:autoSpaceDE/>
        <w:autoSpaceDN/>
        <w:bidi w:val="0"/>
        <w:adjustRightInd/>
        <w:snapToGrid/>
        <w:spacing w:after="0" w:line="172" w:lineRule="exact"/>
        <w:textAlignment w:val="auto"/>
      </w:pPr>
    </w:p>
    <w:p>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headerReference r:id="rId15" w:type="default"/>
          <w:footerReference r:id="rId16" w:type="default"/>
          <w:pgSz w:w="16841" w:h="11907"/>
          <w:pgMar w:top="400" w:right="1699" w:bottom="1184" w:left="1481" w:header="0" w:footer="1022" w:gutter="0"/>
          <w:pgNumType w:fmt="numberInDash"/>
          <w:cols w:space="720" w:num="1"/>
        </w:sectPr>
      </w:pPr>
    </w:p>
    <w:p>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9-3</w:t>
      </w:r>
    </w:p>
    <w:p>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rPr>
        <w:t>技术服务和培训分项报价</w:t>
      </w:r>
      <w:r>
        <w:rPr>
          <w:rFonts w:ascii="宋体" w:hAnsi="宋体" w:eastAsia="宋体" w:cs="宋体"/>
          <w:spacing w:val="9"/>
          <w:sz w:val="24"/>
          <w:szCs w:val="24"/>
        </w:rPr>
        <w:t>表</w:t>
      </w:r>
    </w:p>
    <w:p>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pPr>
        <w:pageBreakBefore w:val="0"/>
        <w:widowControl w:val="0"/>
        <w:kinsoku/>
        <w:wordWrap/>
        <w:overflowPunct/>
        <w:topLinePunct w:val="0"/>
        <w:autoSpaceDE/>
        <w:autoSpaceDN/>
        <w:bidi w:val="0"/>
        <w:adjustRightInd/>
        <w:snapToGrid/>
        <w:spacing w:after="0"/>
        <w:textAlignment w:val="auto"/>
      </w:pPr>
    </w:p>
    <w:p>
      <w:pPr>
        <w:pageBreakBefore w:val="0"/>
        <w:widowControl w:val="0"/>
        <w:kinsoku/>
        <w:wordWrap/>
        <w:overflowPunct/>
        <w:topLinePunct w:val="0"/>
        <w:autoSpaceDE/>
        <w:autoSpaceDN/>
        <w:bidi w:val="0"/>
        <w:adjustRightInd/>
        <w:snapToGrid/>
        <w:spacing w:after="0" w:line="20" w:lineRule="exact"/>
        <w:textAlignment w:val="auto"/>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3625"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内       容</w:t>
            </w:r>
          </w:p>
        </w:tc>
        <w:tc>
          <w:tcPr>
            <w:tcW w:w="1126"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1138"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单价(元)（不含税）</w:t>
            </w:r>
          </w:p>
        </w:tc>
        <w:tc>
          <w:tcPr>
            <w:tcW w:w="1138"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2449"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价格(元)（不含税）</w:t>
            </w:r>
          </w:p>
        </w:tc>
        <w:tc>
          <w:tcPr>
            <w:tcW w:w="3328"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 xml:space="preserve">总价合计列入价格汇总表 </w:t>
            </w:r>
            <w:r>
              <w:rPr>
                <w:rFonts w:hint="eastAsia" w:ascii="宋体" w:hAnsi="宋体" w:eastAsia="宋体" w:cs="宋体"/>
                <w:spacing w:val="-1"/>
                <w:szCs w:val="21"/>
              </w:rPr>
              <w:t>9</w:t>
            </w:r>
            <w:r>
              <w:rPr>
                <w:rFonts w:ascii="宋体" w:hAnsi="宋体" w:eastAsia="宋体" w:cs="宋体"/>
                <w:spacing w:val="-1"/>
                <w:szCs w:val="21"/>
              </w:rPr>
              <w:t>-</w:t>
            </w:r>
            <w:r>
              <w:rPr>
                <w:rFonts w:hint="eastAsia" w:ascii="宋体" w:hAnsi="宋体" w:eastAsia="宋体" w:cs="宋体"/>
                <w:spacing w:val="-1"/>
                <w:szCs w:val="21"/>
              </w:rPr>
              <w:t>5</w:t>
            </w:r>
          </w:p>
        </w:tc>
        <w:tc>
          <w:tcPr>
            <w:tcW w:w="1126"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1138"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1138"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2449"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zCs w:val="21"/>
              </w:rPr>
              <w:t>（不含税）</w:t>
            </w:r>
            <w:r>
              <w:rPr>
                <w:rFonts w:ascii="宋体" w:hAnsi="宋体" w:eastAsia="宋体" w:cs="宋体"/>
                <w:spacing w:val="-1"/>
                <w:szCs w:val="21"/>
              </w:rPr>
              <w:t>￥</w:t>
            </w:r>
          </w:p>
        </w:tc>
        <w:tc>
          <w:tcPr>
            <w:tcW w:w="3328" w:type="dxa"/>
            <w:tcBorders>
              <w:left w:val="nil"/>
            </w:tcBorders>
          </w:tcPr>
          <w:p>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元</w:t>
            </w:r>
          </w:p>
        </w:tc>
      </w:tr>
    </w:tbl>
    <w:p>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ageBreakBefore w:val="0"/>
        <w:widowControl w:val="0"/>
        <w:kinsoku/>
        <w:wordWrap/>
        <w:overflowPunct/>
        <w:topLinePunct w:val="0"/>
        <w:autoSpaceDE/>
        <w:autoSpaceDN/>
        <w:bidi w:val="0"/>
        <w:adjustRightInd/>
        <w:snapToGrid/>
        <w:spacing w:after="0"/>
        <w:textAlignment w:val="auto"/>
      </w:pPr>
    </w:p>
    <w:p>
      <w:pPr>
        <w:pStyle w:val="16"/>
        <w:pageBreakBefore w:val="0"/>
        <w:widowControl w:val="0"/>
        <w:kinsoku/>
        <w:wordWrap/>
        <w:overflowPunct/>
        <w:topLinePunct w:val="0"/>
        <w:autoSpaceDE/>
        <w:autoSpaceDN/>
        <w:bidi w:val="0"/>
        <w:adjustRightInd/>
        <w:snapToGrid/>
        <w:spacing w:after="0"/>
        <w:textAlignment w:val="auto"/>
      </w:pPr>
    </w:p>
    <w:p>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7" w:type="default"/>
          <w:pgSz w:w="16841" w:h="11907"/>
          <w:pgMar w:top="400" w:right="1699" w:bottom="1184" w:left="1481" w:header="0" w:footer="1022" w:gutter="0"/>
          <w:pgNumType w:fmt="numberInDash"/>
          <w:cols w:space="720" w:num="1"/>
        </w:sectPr>
      </w:pPr>
    </w:p>
    <w:p>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rPr>
        <w:t>表</w:t>
      </w:r>
      <w:r>
        <w:rPr>
          <w:rFonts w:ascii="宋体" w:hAnsi="宋体" w:eastAsia="宋体" w:cs="宋体"/>
          <w:spacing w:val="-9"/>
          <w:sz w:val="24"/>
          <w:szCs w:val="24"/>
        </w:rPr>
        <w:t xml:space="preserve"> </w:t>
      </w:r>
      <w:r>
        <w:rPr>
          <w:rFonts w:hint="eastAsia" w:ascii="宋体" w:hAnsi="宋体" w:eastAsia="宋体" w:cs="宋体"/>
          <w:spacing w:val="-9"/>
          <w:sz w:val="24"/>
          <w:szCs w:val="24"/>
        </w:rPr>
        <w:t>9</w:t>
      </w:r>
      <w:r>
        <w:rPr>
          <w:rFonts w:ascii="宋体" w:hAnsi="宋体" w:eastAsia="宋体" w:cs="宋体"/>
          <w:spacing w:val="-9"/>
          <w:sz w:val="24"/>
          <w:szCs w:val="24"/>
        </w:rPr>
        <w:t>-</w:t>
      </w:r>
      <w:r>
        <w:rPr>
          <w:rFonts w:hint="eastAsia" w:ascii="宋体" w:hAnsi="宋体" w:eastAsia="宋体" w:cs="宋体"/>
          <w:spacing w:val="-9"/>
          <w:sz w:val="24"/>
          <w:szCs w:val="24"/>
        </w:rPr>
        <w:t>4</w:t>
      </w:r>
    </w:p>
    <w:p>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rPr>
        <w:t>分项报价</w:t>
      </w:r>
      <w:r>
        <w:rPr>
          <w:rFonts w:ascii="宋体" w:hAnsi="宋体" w:eastAsia="宋体" w:cs="宋体"/>
          <w:spacing w:val="7"/>
          <w:sz w:val="24"/>
          <w:szCs w:val="24"/>
        </w:rPr>
        <w:t>表</w:t>
      </w:r>
    </w:p>
    <w:p>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pPr>
        <w:pageBreakBefore w:val="0"/>
        <w:widowControl w:val="0"/>
        <w:kinsoku/>
        <w:wordWrap/>
        <w:overflowPunct/>
        <w:topLinePunct w:val="0"/>
        <w:autoSpaceDE/>
        <w:autoSpaceDN/>
        <w:bidi w:val="0"/>
        <w:adjustRightInd/>
        <w:snapToGrid/>
        <w:spacing w:after="0" w:line="172" w:lineRule="exact"/>
        <w:textAlignment w:val="auto"/>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rPr>
              <w:t>2</w:t>
            </w:r>
          </w:p>
        </w:tc>
        <w:tc>
          <w:tcPr>
            <w:tcW w:w="2100" w:type="dxa"/>
          </w:tcPr>
          <w:p>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rPr>
              <w:t>3</w:t>
            </w:r>
          </w:p>
        </w:tc>
        <w:tc>
          <w:tcPr>
            <w:tcW w:w="840" w:type="dxa"/>
          </w:tcPr>
          <w:p>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rPr>
              <w:t>4</w:t>
            </w:r>
          </w:p>
        </w:tc>
        <w:tc>
          <w:tcPr>
            <w:tcW w:w="2239" w:type="dxa"/>
          </w:tcPr>
          <w:p>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rPr>
              <w:t>5</w:t>
            </w:r>
          </w:p>
        </w:tc>
        <w:tc>
          <w:tcPr>
            <w:tcW w:w="1498" w:type="dxa"/>
          </w:tcPr>
          <w:p>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rPr>
              <w:t>6</w:t>
            </w:r>
          </w:p>
        </w:tc>
        <w:tc>
          <w:tcPr>
            <w:tcW w:w="1861" w:type="dxa"/>
          </w:tcPr>
          <w:p>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rPr>
              <w:t>7</w:t>
            </w:r>
          </w:p>
        </w:tc>
        <w:tc>
          <w:tcPr>
            <w:tcW w:w="1120" w:type="dxa"/>
          </w:tcPr>
          <w:p>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rPr>
              <w:t>8</w:t>
            </w:r>
          </w:p>
        </w:tc>
        <w:tc>
          <w:tcPr>
            <w:tcW w:w="1125" w:type="dxa"/>
          </w:tcPr>
          <w:p>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 号</w:t>
            </w:r>
          </w:p>
        </w:tc>
        <w:tc>
          <w:tcPr>
            <w:tcW w:w="2543"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备件或</w:t>
            </w:r>
            <w:r>
              <w:rPr>
                <w:rFonts w:hint="eastAsia" w:ascii="宋体" w:hAnsi="宋体" w:eastAsia="宋体" w:cs="宋体"/>
                <w:spacing w:val="-1"/>
                <w:szCs w:val="21"/>
              </w:rPr>
              <w:t>工具名称</w:t>
            </w:r>
          </w:p>
        </w:tc>
        <w:tc>
          <w:tcPr>
            <w:tcW w:w="2100"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w:t>
            </w:r>
            <w:r>
              <w:rPr>
                <w:rFonts w:ascii="宋体" w:hAnsi="宋体" w:eastAsia="宋体" w:cs="宋体"/>
                <w:spacing w:val="-1"/>
                <w:szCs w:val="21"/>
              </w:rPr>
              <w:t>规格</w:t>
            </w:r>
          </w:p>
        </w:tc>
        <w:tc>
          <w:tcPr>
            <w:tcW w:w="840"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2239"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w:t>
            </w:r>
          </w:p>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制造商</w:t>
            </w:r>
            <w:r>
              <w:rPr>
                <w:rFonts w:hint="eastAsia" w:ascii="宋体" w:hAnsi="宋体" w:eastAsia="宋体" w:cs="宋体"/>
                <w:spacing w:val="-1"/>
                <w:szCs w:val="21"/>
              </w:rPr>
              <w:t>名称</w:t>
            </w:r>
          </w:p>
        </w:tc>
        <w:tc>
          <w:tcPr>
            <w:tcW w:w="1498"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1861"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w:t>
            </w:r>
            <w:r>
              <w:rPr>
                <w:rFonts w:hint="eastAsia" w:ascii="宋体" w:hAnsi="宋体" w:eastAsia="宋体" w:cs="宋体"/>
                <w:spacing w:val="-1"/>
                <w:szCs w:val="21"/>
              </w:rPr>
              <w:t>4×6]（不含税）(元)</w:t>
            </w:r>
          </w:p>
        </w:tc>
        <w:tc>
          <w:tcPr>
            <w:tcW w:w="1120"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更换</w:t>
            </w:r>
          </w:p>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周期</w:t>
            </w:r>
          </w:p>
        </w:tc>
        <w:tc>
          <w:tcPr>
            <w:tcW w:w="1125"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备</w:t>
            </w:r>
            <w:r>
              <w:rPr>
                <w:rFonts w:hint="eastAsia" w:ascii="宋体" w:hAnsi="宋体" w:eastAsia="宋体" w:cs="宋体"/>
                <w:spacing w:val="-1"/>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rPr>
      </w:pPr>
    </w:p>
    <w:p>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rPr>
      </w:pPr>
    </w:p>
    <w:p>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8" w:type="default"/>
          <w:pgSz w:w="16841" w:h="11907"/>
          <w:pgMar w:top="400" w:right="1500" w:bottom="1184" w:left="1480" w:header="0" w:footer="1022" w:gutter="0"/>
          <w:pgNumType w:fmt="numberInDash"/>
          <w:cols w:space="720" w:num="1"/>
        </w:sectPr>
      </w:pPr>
    </w:p>
    <w:p>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9-5</w:t>
      </w:r>
    </w:p>
    <w:p>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rPr>
        <w:t>价</w:t>
      </w:r>
      <w:r>
        <w:rPr>
          <w:rFonts w:ascii="宋体" w:hAnsi="宋体" w:eastAsia="宋体" w:cs="宋体"/>
          <w:spacing w:val="8"/>
          <w:sz w:val="24"/>
          <w:szCs w:val="24"/>
        </w:rPr>
        <w:t>格汇总表</w:t>
      </w:r>
    </w:p>
    <w:p>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第   页共   页</w:t>
      </w:r>
    </w:p>
    <w:p>
      <w:pPr>
        <w:pageBreakBefore w:val="0"/>
        <w:widowControl w:val="0"/>
        <w:kinsoku/>
        <w:wordWrap/>
        <w:overflowPunct/>
        <w:topLinePunct w:val="0"/>
        <w:autoSpaceDE/>
        <w:autoSpaceDN/>
        <w:bidi w:val="0"/>
        <w:adjustRightInd/>
        <w:snapToGrid/>
        <w:spacing w:after="0" w:line="127" w:lineRule="exact"/>
        <w:textAlignment w:val="auto"/>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rPr>
              <w:t>（不含税）</w:t>
            </w:r>
          </w:p>
        </w:tc>
        <w:tc>
          <w:tcPr>
            <w:tcW w:w="3362" w:type="dxa"/>
          </w:tcPr>
          <w:p>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pageBreakBefore w:val="0"/>
              <w:widowControl w:val="0"/>
              <w:kinsoku/>
              <w:wordWrap/>
              <w:overflowPunct/>
              <w:topLinePunct w:val="0"/>
              <w:autoSpaceDE/>
              <w:autoSpaceDN/>
              <w:bidi w:val="0"/>
              <w:adjustRightInd/>
              <w:snapToGrid/>
              <w:spacing w:after="0"/>
              <w:textAlignment w:val="auto"/>
              <w:rPr>
                <w:rFonts w:ascii="Arial"/>
              </w:rPr>
            </w:pPr>
          </w:p>
          <w:p>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（不含税）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tcPr>
          <w:p>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rPr>
            </w:pPr>
            <w:r>
              <w:rPr>
                <w:rFonts w:ascii="宋体" w:hAnsi="宋体" w:eastAsia="宋体" w:cs="宋体"/>
                <w:spacing w:val="-1"/>
                <w:szCs w:val="21"/>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tcPr>
          <w:p>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rPr>
            </w:pPr>
            <w:r>
              <w:rPr>
                <w:rFonts w:ascii="宋体" w:hAnsi="宋体" w:eastAsia="宋体" w:cs="宋体"/>
                <w:spacing w:val="-1"/>
                <w:szCs w:val="21"/>
              </w:rPr>
              <w:t>元</w:t>
            </w:r>
            <w:r>
              <w:rPr>
                <w:rFonts w:hint="eastAsia" w:ascii="宋体" w:hAnsi="宋体" w:eastAsia="宋体" w:cs="宋体"/>
                <w:spacing w:val="-1"/>
                <w:szCs w:val="21"/>
              </w:rPr>
              <w:t xml:space="preserve"> （税率：</w:t>
            </w:r>
            <w:r>
              <w:rPr>
                <w:rFonts w:hint="eastAsia" w:ascii="宋体" w:hAnsi="宋体" w:eastAsia="宋体" w:cs="宋体"/>
                <w:spacing w:val="-1"/>
                <w:szCs w:val="21"/>
                <w:u w:val="single"/>
              </w:rPr>
              <w:t xml:space="preserve">   </w:t>
            </w:r>
            <w:r>
              <w:rPr>
                <w:rFonts w:hint="eastAsia" w:ascii="宋体" w:hAnsi="宋体" w:eastAsia="宋体" w:cs="宋体"/>
                <w:spacing w:val="-1"/>
                <w:szCs w:val="21"/>
              </w:rPr>
              <w:t>%）</w:t>
            </w:r>
          </w:p>
        </w:tc>
      </w:tr>
    </w:tbl>
    <w:p>
      <w:pPr>
        <w:pageBreakBefore w:val="0"/>
        <w:widowControl w:val="0"/>
        <w:kinsoku/>
        <w:wordWrap/>
        <w:overflowPunct/>
        <w:topLinePunct w:val="0"/>
        <w:autoSpaceDE/>
        <w:autoSpaceDN/>
        <w:bidi w:val="0"/>
        <w:adjustRightInd/>
        <w:snapToGrid/>
        <w:spacing w:after="0" w:line="291" w:lineRule="auto"/>
        <w:textAlignment w:val="auto"/>
        <w:rPr>
          <w:rFonts w:ascii="Arial"/>
        </w:rPr>
      </w:pPr>
    </w:p>
    <w:p>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ageBreakBefore w:val="0"/>
        <w:widowControl w:val="0"/>
        <w:kinsoku/>
        <w:wordWrap/>
        <w:overflowPunct/>
        <w:topLinePunct w:val="0"/>
        <w:autoSpaceDE/>
        <w:autoSpaceDN/>
        <w:bidi w:val="0"/>
        <w:adjustRightInd/>
        <w:snapToGrid/>
        <w:spacing w:after="0"/>
        <w:textAlignment w:val="auto"/>
      </w:pPr>
    </w:p>
    <w:p>
      <w:pPr>
        <w:pStyle w:val="16"/>
        <w:pageBreakBefore w:val="0"/>
        <w:widowControl w:val="0"/>
        <w:kinsoku/>
        <w:wordWrap/>
        <w:overflowPunct/>
        <w:topLinePunct w:val="0"/>
        <w:autoSpaceDE/>
        <w:autoSpaceDN/>
        <w:bidi w:val="0"/>
        <w:adjustRightInd/>
        <w:snapToGrid/>
        <w:spacing w:after="0"/>
        <w:textAlignment w:val="auto"/>
      </w:pPr>
    </w:p>
    <w:p>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9"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pageBreakBefore w:val="0"/>
        <w:kinsoku/>
        <w:wordWrap/>
        <w:overflowPunct/>
        <w:topLinePunct w:val="0"/>
        <w:autoSpaceDE/>
        <w:autoSpaceDN/>
        <w:bidi w:val="0"/>
        <w:spacing w:after="0"/>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ageBreakBefore w:val="0"/>
        <w:kinsoku/>
        <w:wordWrap/>
        <w:overflowPunct/>
        <w:topLinePunct w:val="0"/>
        <w:autoSpaceDE/>
        <w:autoSpaceDN/>
        <w:bidi w:val="0"/>
        <w:spacing w:after="0"/>
        <w:rPr>
          <w:rFonts w:ascii="宋体" w:hAnsi="Calibri" w:eastAsia="宋体" w:cs="Times New Roman"/>
          <w:szCs w:val="20"/>
        </w:rPr>
      </w:pP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pageBreakBefore w:val="0"/>
        <w:kinsoku/>
        <w:wordWrap/>
        <w:overflowPunct/>
        <w:topLinePunct w:val="0"/>
        <w:autoSpaceDE/>
        <w:autoSpaceDN/>
        <w:bidi w:val="0"/>
        <w:spacing w:after="0" w:line="272" w:lineRule="auto"/>
        <w:rPr>
          <w:rFonts w:ascii="Arial"/>
        </w:rPr>
      </w:pPr>
    </w:p>
    <w:p>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br w:type="page"/>
      </w:r>
    </w:p>
    <w:p>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pPr>
        <w:pageBreakBefore w:val="0"/>
        <w:kinsoku/>
        <w:wordWrap/>
        <w:overflowPunct/>
        <w:topLinePunct w:val="0"/>
        <w:autoSpaceDE/>
        <w:autoSpaceDN/>
        <w:bidi w:val="0"/>
        <w:spacing w:after="0" w:line="360" w:lineRule="auto"/>
        <w:rPr>
          <w:rFonts w:ascii="宋体" w:hAnsi="Calibri" w:eastAsia="宋体" w:cs="Times New Roman"/>
          <w:b w:val="0"/>
          <w:bCs w:val="0"/>
          <w:sz w:val="24"/>
          <w:szCs w:val="20"/>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ageBreakBefore w:val="0"/>
        <w:kinsoku/>
        <w:wordWrap/>
        <w:overflowPunct/>
        <w:topLinePunct w:val="0"/>
        <w:autoSpaceDE/>
        <w:autoSpaceDN/>
        <w:bidi w:val="0"/>
        <w:spacing w:after="0"/>
        <w:rPr>
          <w:rFonts w:ascii="宋体" w:hAnsi="Calibri" w:eastAsia="宋体" w:cs="宋体"/>
          <w:b/>
          <w:bCs/>
          <w:color w:val="000000"/>
          <w:sz w:val="28"/>
          <w:szCs w:val="20"/>
        </w:rPr>
      </w:pPr>
    </w:p>
    <w:p>
      <w:pPr>
        <w:pStyle w:val="16"/>
        <w:pageBreakBefore w:val="0"/>
        <w:kinsoku/>
        <w:wordWrap/>
        <w:overflowPunct/>
        <w:topLinePunct w:val="0"/>
        <w:autoSpaceDE/>
        <w:autoSpaceDN/>
        <w:bidi w:val="0"/>
        <w:spacing w:after="0"/>
        <w:rPr>
          <w:rFonts w:hAnsi="Calibri" w:eastAsia="宋体" w:cs="宋体"/>
          <w:b/>
          <w:bCs/>
          <w:color w:val="000000"/>
          <w:sz w:val="28"/>
          <w:szCs w:val="20"/>
        </w:rPr>
      </w:pPr>
    </w:p>
    <w:p>
      <w:pPr>
        <w:pageBreakBefore w:val="0"/>
        <w:kinsoku/>
        <w:wordWrap/>
        <w:overflowPunct/>
        <w:topLinePunct w:val="0"/>
        <w:autoSpaceDE/>
        <w:autoSpaceDN/>
        <w:bidi w:val="0"/>
        <w:spacing w:after="0"/>
        <w:rPr>
          <w:rFonts w:ascii="宋体" w:hAnsi="Calibri" w:eastAsia="宋体" w:cs="宋体"/>
          <w:b/>
          <w:bCs/>
          <w:color w:val="000000"/>
          <w:sz w:val="28"/>
          <w:szCs w:val="20"/>
        </w:rPr>
      </w:pPr>
    </w:p>
    <w:p>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p>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pageBreakBefore w:val="0"/>
              <w:kinsoku/>
              <w:wordWrap/>
              <w:overflowPunct/>
              <w:topLinePunct w:val="0"/>
              <w:autoSpaceDE/>
              <w:autoSpaceDN/>
              <w:bidi w:val="0"/>
              <w:spacing w:after="0"/>
              <w:rPr>
                <w:rFonts w:ascii="Times New Roman" w:hAnsi="Times New Roman" w:eastAsia="等线" w:cs="Times New Roman"/>
                <w:b/>
                <w:sz w:val="30"/>
                <w:szCs w:val="30"/>
              </w:rPr>
            </w:pPr>
          </w:p>
          <w:p>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p>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jc w:val="right"/>
        <w:rPr>
          <w:rFonts w:asciiTheme="minorEastAsia" w:hAnsiTheme="minorEastAsia" w:cstheme="minorEastAsia"/>
          <w:sz w:val="20"/>
          <w:szCs w:val="20"/>
        </w:rPr>
      </w:pPr>
    </w:p>
    <w:p>
      <w:pPr>
        <w:pageBreakBefore w:val="0"/>
        <w:kinsoku/>
        <w:wordWrap/>
        <w:overflowPunct/>
        <w:topLinePunct w:val="0"/>
        <w:autoSpaceDE/>
        <w:autoSpaceDN/>
        <w:bidi w:val="0"/>
        <w:spacing w:after="0"/>
        <w:jc w:val="right"/>
        <w:rPr>
          <w:rFonts w:asciiTheme="minorEastAsia" w:hAnsiTheme="minorEastAsia" w:cstheme="minorEastAsia"/>
          <w:sz w:val="20"/>
          <w:szCs w:val="20"/>
        </w:rPr>
      </w:pPr>
    </w:p>
    <w:p>
      <w:pPr>
        <w:pageBreakBefore w:val="0"/>
        <w:kinsoku/>
        <w:wordWrap/>
        <w:overflowPunct/>
        <w:topLinePunct w:val="0"/>
        <w:autoSpaceDE/>
        <w:autoSpaceDN/>
        <w:bidi w:val="0"/>
        <w:spacing w:after="0"/>
        <w:sectPr>
          <w:headerReference r:id="rId20" w:type="first"/>
          <w:footerReference r:id="rId22" w:type="first"/>
          <w:footerReference r:id="rId21" w:type="default"/>
          <w:pgSz w:w="11906" w:h="16838"/>
          <w:pgMar w:top="1588" w:right="1418" w:bottom="1134" w:left="1418" w:header="851" w:footer="992" w:gutter="0"/>
          <w:pgNumType w:fmt="numberInDash"/>
          <w:cols w:space="720" w:num="1"/>
          <w:titlePg/>
          <w:docGrid w:type="lines" w:linePitch="312" w:charSpace="0"/>
        </w:sectPr>
      </w:pPr>
    </w:p>
    <w:p>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pPr>
        <w:pageBreakBefore w:val="0"/>
        <w:kinsoku/>
        <w:wordWrap/>
        <w:overflowPunct/>
        <w:topLinePunct w:val="0"/>
        <w:autoSpaceDE/>
        <w:autoSpaceDN/>
        <w:bidi w:val="0"/>
        <w:spacing w:after="0"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Style w:val="3"/>
        <w:pageBreakBefore w:val="0"/>
        <w:tabs>
          <w:tab w:val="right" w:leader="dot" w:pos="9061"/>
        </w:tabs>
        <w:kinsoku/>
        <w:wordWrap/>
        <w:overflowPunct/>
        <w:topLinePunct w:val="0"/>
        <w:autoSpaceDE/>
        <w:autoSpaceDN/>
        <w:bidi w:val="0"/>
        <w:spacing w:after="0"/>
      </w:pP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6"/>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40"/>
                <w:rFonts w:hint="default"/>
                <w:spacing w:val="315"/>
                <w:kern w:val="0"/>
                <w:fitText w:val="1050" w:id="23403264"/>
                <w:lang w:bidi="ar"/>
              </w:rPr>
              <w:t>内</w:t>
            </w:r>
            <w:r>
              <w:rPr>
                <w:rStyle w:val="140"/>
                <w:rFonts w:hint="default"/>
                <w:spacing w:val="0"/>
                <w:kern w:val="0"/>
                <w:fitText w:val="1050" w:id="23403264"/>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Style w:val="140"/>
                <w:rFonts w:hint="eastAsia" w:eastAsia="宋体"/>
                <w:lang w:val="en-US" w:eastAsia="zh-CN" w:bidi="ar"/>
              </w:rPr>
            </w:pPr>
            <w:r>
              <w:rPr>
                <w:rStyle w:val="140"/>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评分标准</w:t>
            </w:r>
          </w:p>
        </w:tc>
      </w:tr>
      <w:tr>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pPr>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pPr>
        <w:pStyle w:val="16"/>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pPr>
        <w:pStyle w:val="16"/>
        <w:pageBreakBefore w:val="0"/>
        <w:kinsoku/>
        <w:wordWrap/>
        <w:overflowPunct/>
        <w:topLinePunct w:val="0"/>
        <w:autoSpaceDE/>
        <w:autoSpaceDN/>
        <w:bidi w:val="0"/>
        <w:spacing w:after="0"/>
        <w:rPr>
          <w:rFonts w:eastAsia="宋体"/>
        </w:rPr>
      </w:pPr>
    </w:p>
    <w:p>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0"/>
                    <a:stretch>
                      <a:fillRect/>
                    </a:stretch>
                  </pic:blipFill>
                  <pic:spPr>
                    <a:xfrm>
                      <a:off x="0" y="0"/>
                      <a:ext cx="5760085" cy="2933377"/>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1"/>
                    <a:stretch>
                      <a:fillRect/>
                    </a:stretch>
                  </pic:blipFill>
                  <pic:spPr>
                    <a:xfrm>
                      <a:off x="0" y="0"/>
                      <a:ext cx="5760085" cy="2766707"/>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2"/>
                    <a:stretch>
                      <a:fillRect/>
                    </a:stretch>
                  </pic:blipFill>
                  <pic:spPr>
                    <a:xfrm>
                      <a:off x="0" y="0"/>
                      <a:ext cx="5760085" cy="2870054"/>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3"/>
                    <a:stretch>
                      <a:fillRect/>
                    </a:stretch>
                  </pic:blipFill>
                  <pic:spPr>
                    <a:xfrm>
                      <a:off x="0" y="0"/>
                      <a:ext cx="5760085" cy="2853375"/>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6"/>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4"/>
                    <a:stretch>
                      <a:fillRect/>
                    </a:stretch>
                  </pic:blipFill>
                  <pic:spPr>
                    <a:xfrm>
                      <a:off x="0" y="0"/>
                      <a:ext cx="5760085" cy="2810122"/>
                    </a:xfrm>
                    <a:prstGeom prst="rect">
                      <a:avLst/>
                    </a:prstGeom>
                  </pic:spPr>
                </pic:pic>
              </a:graphicData>
            </a:graphic>
          </wp:inline>
        </w:drawing>
      </w:r>
    </w:p>
    <w:p>
      <w:pPr>
        <w:pStyle w:val="16"/>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5"/>
                    <a:stretch>
                      <a:fillRect/>
                    </a:stretch>
                  </pic:blipFill>
                  <pic:spPr>
                    <a:xfrm>
                      <a:off x="0" y="0"/>
                      <a:ext cx="5760085" cy="2820042"/>
                    </a:xfrm>
                    <a:prstGeom prst="rect">
                      <a:avLst/>
                    </a:prstGeom>
                  </pic:spPr>
                </pic:pic>
              </a:graphicData>
            </a:graphic>
          </wp:inline>
        </w:drawing>
      </w:r>
    </w:p>
    <w:p>
      <w:pPr>
        <w:pStyle w:val="16"/>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pPr>
        <w:pStyle w:val="16"/>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pPr>
        <w:pStyle w:val="16"/>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pPr>
        <w:pStyle w:val="16"/>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6"/>
                    <a:stretch>
                      <a:fillRect/>
                    </a:stretch>
                  </pic:blipFill>
                  <pic:spPr>
                    <a:xfrm>
                      <a:off x="0" y="0"/>
                      <a:ext cx="5760085" cy="2269864"/>
                    </a:xfrm>
                    <a:prstGeom prst="rect">
                      <a:avLst/>
                    </a:prstGeom>
                  </pic:spPr>
                </pic:pic>
              </a:graphicData>
            </a:graphic>
          </wp:inline>
        </w:drawing>
      </w:r>
    </w:p>
    <w:p>
      <w:pPr>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7"/>
                    <a:stretch>
                      <a:fillRect/>
                    </a:stretch>
                  </pic:blipFill>
                  <pic:spPr>
                    <a:xfrm>
                      <a:off x="0" y="0"/>
                      <a:ext cx="5760085" cy="2125673"/>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6"/>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8"/>
                    <a:stretch>
                      <a:fillRect/>
                    </a:stretch>
                  </pic:blipFill>
                  <pic:spPr>
                    <a:xfrm>
                      <a:off x="0" y="0"/>
                      <a:ext cx="5490210" cy="2669498"/>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9"/>
                    <a:stretch>
                      <a:fillRect/>
                    </a:stretch>
                  </pic:blipFill>
                  <pic:spPr>
                    <a:xfrm>
                      <a:off x="0" y="0"/>
                      <a:ext cx="5490210" cy="1992743"/>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40"/>
                    <a:stretch>
                      <a:fillRect/>
                    </a:stretch>
                  </pic:blipFill>
                  <pic:spPr>
                    <a:xfrm>
                      <a:off x="0" y="0"/>
                      <a:ext cx="5758180" cy="2379345"/>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41"/>
                    <a:stretch>
                      <a:fillRect/>
                    </a:stretch>
                  </pic:blipFill>
                  <pic:spPr>
                    <a:xfrm>
                      <a:off x="0" y="0"/>
                      <a:ext cx="6002655" cy="2518410"/>
                    </a:xfrm>
                    <a:prstGeom prst="rect">
                      <a:avLst/>
                    </a:prstGeom>
                  </pic:spPr>
                </pic:pic>
              </a:graphicData>
            </a:graphic>
          </wp:inline>
        </w:drawing>
      </w:r>
    </w:p>
    <w:p>
      <w:pPr>
        <w:pStyle w:val="146"/>
        <w:rPr>
          <w:rFonts w:hint="default" w:hAnsi="宋体"/>
          <w:sz w:val="24"/>
          <w:lang w:val="en-US"/>
        </w:rPr>
      </w:pPr>
    </w:p>
    <w:p>
      <w:pPr>
        <w:rPr>
          <w:rFonts w:hint="eastAsia" w:hAnsi="宋体" w:eastAsia="宋体" w:cs="Times New Roman"/>
          <w:b/>
          <w:color w:val="000000"/>
          <w:sz w:val="24"/>
          <w:szCs w:val="24"/>
          <w:highlight w:val="none"/>
        </w:rPr>
      </w:pPr>
    </w:p>
    <w:p>
      <w:pPr>
        <w:rPr>
          <w:rFonts w:hint="eastAsia"/>
        </w:rPr>
      </w:pPr>
    </w:p>
    <w:sectPr>
      <w:headerReference r:id="rId24" w:type="first"/>
      <w:footerReference r:id="rId26" w:type="first"/>
      <w:headerReference r:id="rId23" w:type="default"/>
      <w:footerReference r:id="rId25" w:type="default"/>
      <w:pgSz w:w="11906" w:h="16838"/>
      <w:pgMar w:top="1588"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w:pict>
        <v:shape id="文本框 4" o:spid="_x0000_s310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w:pict>
        <v:shape id="_x0000_s3097" o:spid="_x0000_s3097"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- 68 -</w:t>
                </w:r>
                <w:r>
                  <w:fldChar w:fldCharType="end"/>
                </w:r>
              </w:p>
            </w:txbxContent>
          </v:textbox>
        </v:shape>
      </w:pict>
    </w:r>
    <w:r>
      <w:rPr>
        <w:rFonts w:ascii="Times New Roman" w:hAnsi="Times New Roman" w:eastAsia="Times New Roman" w:cs="Times New Roman"/>
        <w:spacing w:val="-2"/>
        <w:sz w:val="18"/>
        <w:szCs w:val="18"/>
      </w:rPr>
      <w:t>36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w:pict>
        <v:shape id="文本框 34" o:spid="_x0000_s3098"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- 69 -</w:t>
                </w:r>
                <w:r>
                  <w:fldChar w:fldCharType="end"/>
                </w:r>
              </w:p>
            </w:txbxContent>
          </v:textbox>
        </v:shape>
      </w:pict>
    </w:r>
    <w:r>
      <w:rPr>
        <w:rFonts w:ascii="Times New Roman" w:hAnsi="Times New Roman" w:eastAsia="Times New Roman" w:cs="Times New Roman"/>
        <w:spacing w:val="-2"/>
        <w:sz w:val="18"/>
        <w:szCs w:val="18"/>
      </w:rPr>
      <w:t>35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w:pict>
        <v:shape id="文本框 35" o:spid="_x0000_s3091"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- 70 -</w:t>
                </w:r>
                <w:r>
                  <w:fldChar w:fldCharType="end"/>
                </w:r>
              </w:p>
            </w:txbxContent>
          </v:textbox>
        </v:shape>
      </w:pic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w:pict>
        <v:shape id="文本框 10" o:spid="_x0000_s3092"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- 72 -</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pict>
        <v:shape id="文本框 9" o:spid="_x0000_s309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- 71 -</w:t>
                </w:r>
                <w:r>
                  <w:rPr>
                    <w:sz w:val="18"/>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rFonts w:hint="eastAsia"/>
        <w:sz w:val="17"/>
      </w:rPr>
      <w:pict>
        <v:shape id="_x0000_s3106" o:spid="_x0000_s3106"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weight="0.5pt"/>
          <v:imagedata o:title=""/>
          <o:lock v:ext="edit" aspectratio="f"/>
          <v:textbox inset="0mm,0mm,0mm,0mm" style="mso-fit-shape-to-text:t;">
            <w:txbxContent>
              <w:p>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- 81 -</w:t>
                </w:r>
                <w:r>
                  <w:rPr>
                    <w:rFonts w:hint="eastAsia"/>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rPr>
        <w:rFonts w:hint="eastAsia"/>
      </w:rPr>
      <w:pict>
        <v:shape id="_x0000_s3074" o:spid="_x0000_s3074"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- 80 -</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pict>
        <v:shape id="文本框 5"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- 1 -</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sz w:val="21"/>
        <w:szCs w:val="20"/>
      </w:rPr>
    </w:pPr>
    <w:r>
      <w:rPr>
        <w:sz w:val="21"/>
      </w:rPr>
      <w:pict>
        <v:shape id="文本框 8" o:spid="_x0000_s310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r>
                  <w:fldChar w:fldCharType="begin"/>
                </w:r>
                <w:r>
                  <w:instrText xml:space="preserve"> PAGE  \* MERGEFORMAT </w:instrText>
                </w:r>
                <w:r>
                  <w:fldChar w:fldCharType="separate"/>
                </w:r>
                <w:r>
                  <w:t>- 2 -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w:pict>
        <v:shape id="文本框 7" o:spid="_x0000_s309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r>
                  <w:fldChar w:fldCharType="begin"/>
                </w:r>
                <w:r>
                  <w:instrText xml:space="preserve"> PAGE  \* MERGEFORMAT </w:instrText>
                </w:r>
                <w:r>
                  <w:fldChar w:fldCharType="separate"/>
                </w:r>
                <w:r>
                  <w:t>- 1 -</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pict>
        <v:shape id="_x0000_s3109" o:spid="_x0000_s310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w:rPr>
        <w:rFonts w:hint="eastAsia"/>
      </w:rPr>
      <w:pict>
        <v:shape id="_x0000_s3105" o:spid="_x0000_s310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- 18 -</w:t>
                </w:r>
                <w:r>
                  <w:rPr>
                    <w:rFonts w:hint="eastAsia"/>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rPr>
        <w:rFonts w:hint="eastAsia"/>
      </w:rPr>
      <w:pict>
        <v:shape id="_x0000_s3104" o:spid="_x0000_s310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- 17 -</w:t>
                </w:r>
                <w:r>
                  <w:rPr>
                    <w:rFonts w:hint="eastAsia"/>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187"/>
      </w:tabs>
      <w:spacing w:line="188" w:lineRule="auto"/>
      <w:ind w:left="6854"/>
      <w:rPr>
        <w:rFonts w:hint="eastAsia" w:ascii="Times New Roman" w:hAnsi="Times New Roman" w:eastAsia="宋体" w:cs="Times New Roman"/>
        <w:sz w:val="18"/>
        <w:szCs w:val="18"/>
        <w:lang w:eastAsia="zh-CN"/>
      </w:rPr>
    </w:pPr>
    <w:r>
      <w:rPr>
        <w:sz w:val="18"/>
      </w:rPr>
      <w:pict>
        <v:shape id="_x0000_s3095" o:spid="_x0000_s309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- 66 -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济南轻卡制造公司</w:t>
    </w:r>
    <w:r>
      <w:rPr>
        <w:rFonts w:hint="eastAsia"/>
        <w:lang w:val="en-US" w:eastAsia="zh-CN"/>
      </w:rPr>
      <w:t>轻卡焊装线KD改造项目</w:t>
    </w:r>
    <w:r>
      <w:rPr>
        <w:rFonts w:hint="eastAsia"/>
      </w:rPr>
      <w:t>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济南轻卡制造公司</w:t>
    </w:r>
    <w:r>
      <w:rPr>
        <w:rFonts w:hint="eastAsia"/>
        <w:lang w:val="en-US" w:eastAsia="zh-CN"/>
      </w:rPr>
      <w:t>轻卡焊装线KD改造项目</w:t>
    </w:r>
    <w:r>
      <w:rPr>
        <w:rFonts w:hint="eastAsia"/>
      </w:rPr>
      <w:t>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rPr>
        <w:rFonts w:hint="eastAsia"/>
      </w:rPr>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rPr>
        <w:rFonts w:hint="eastAsia"/>
      </w:rPr>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rPr>
        <w:rFonts w:hint="eastAsia"/>
        <w:lang w:val="en-US" w:eastAsia="zh-CN"/>
      </w:rPr>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13">
    <w:nsid w:val="06882CE3"/>
    <w:multiLevelType w:val="multilevel"/>
    <w:tmpl w:val="06882CE3"/>
    <w:lvl w:ilvl="0" w:tentative="0">
      <w:start w:val="1"/>
      <w:numFmt w:val="decimal"/>
      <w:pStyle w:val="148"/>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3265E1EC"/>
    <w:multiLevelType w:val="singleLevel"/>
    <w:tmpl w:val="3265E1EC"/>
    <w:lvl w:ilvl="0" w:tentative="0">
      <w:start w:val="1"/>
      <w:numFmt w:val="decimal"/>
      <w:lvlText w:val="(%1)"/>
      <w:lvlJc w:val="left"/>
      <w:pPr>
        <w:ind w:left="425" w:hanging="425"/>
      </w:pPr>
      <w:rPr>
        <w:rFonts w:hint="default"/>
      </w:rPr>
    </w:lvl>
  </w:abstractNum>
  <w:abstractNum w:abstractNumId="15">
    <w:nsid w:val="3CF6EF77"/>
    <w:multiLevelType w:val="singleLevel"/>
    <w:tmpl w:val="3CF6EF77"/>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520018B0"/>
    <w:multiLevelType w:val="multilevel"/>
    <w:tmpl w:val="520018B0"/>
    <w:lvl w:ilvl="0" w:tentative="0">
      <w:start w:val="1"/>
      <w:numFmt w:val="decimal"/>
      <w:pStyle w:val="14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D20133"/>
    <w:multiLevelType w:val="multilevel"/>
    <w:tmpl w:val="56D20133"/>
    <w:lvl w:ilvl="0" w:tentative="0">
      <w:start w:val="1"/>
      <w:numFmt w:val="chineseCountingThousand"/>
      <w:pStyle w:val="14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
    <w:nsid w:val="5983D379"/>
    <w:multiLevelType w:val="singleLevel"/>
    <w:tmpl w:val="5983D379"/>
    <w:lvl w:ilvl="0" w:tentative="0">
      <w:start w:val="1"/>
      <w:numFmt w:val="decimal"/>
      <w:lvlText w:val="(%1)"/>
      <w:lvlJc w:val="left"/>
      <w:pPr>
        <w:ind w:left="425" w:hanging="425"/>
      </w:pPr>
      <w:rPr>
        <w:rFonts w:hint="default"/>
      </w:rPr>
    </w:lvl>
  </w:abstractNum>
  <w:abstractNum w:abstractNumId="21">
    <w:nsid w:val="656A6EAE"/>
    <w:multiLevelType w:val="multilevel"/>
    <w:tmpl w:val="656A6EAE"/>
    <w:lvl w:ilvl="0" w:tentative="0">
      <w:start w:val="1"/>
      <w:numFmt w:val="chineseCountingThousand"/>
      <w:pStyle w:val="14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3"/>
      <w:suff w:val="nothing"/>
      <w:lvlText w:val="%1%2　"/>
      <w:lvlJc w:val="left"/>
      <w:pPr>
        <w:ind w:left="420" w:firstLine="0"/>
      </w:pPr>
      <w:rPr>
        <w:rFonts w:hint="eastAsia" w:ascii="黑体" w:hAnsi="Times New Roman" w:eastAsia="黑体"/>
        <w:b w:val="0"/>
        <w:i w:val="0"/>
        <w:sz w:val="21"/>
      </w:rPr>
    </w:lvl>
    <w:lvl w:ilvl="2" w:tentative="0">
      <w:start w:val="1"/>
      <w:numFmt w:val="decimal"/>
      <w:pStyle w:val="108"/>
      <w:suff w:val="nothing"/>
      <w:lvlText w:val="%1%2.%3　"/>
      <w:lvlJc w:val="left"/>
      <w:pPr>
        <w:ind w:left="709" w:firstLine="0"/>
      </w:pPr>
      <w:rPr>
        <w:rFonts w:hint="eastAsia" w:ascii="黑体" w:hAnsi="Times New Roman" w:eastAsia="黑体"/>
        <w:b w:val="0"/>
        <w:i w:val="0"/>
        <w:sz w:val="21"/>
      </w:rPr>
    </w:lvl>
    <w:lvl w:ilvl="3" w:tentative="0">
      <w:start w:val="1"/>
      <w:numFmt w:val="decimal"/>
      <w:pStyle w:val="152"/>
      <w:suff w:val="nothing"/>
      <w:lvlText w:val="%1%2.%3.%4　"/>
      <w:lvlJc w:val="left"/>
      <w:pPr>
        <w:ind w:left="283" w:firstLine="0"/>
      </w:pPr>
      <w:rPr>
        <w:rFonts w:hint="eastAsia" w:ascii="黑体" w:hAnsi="Times New Roman" w:eastAsia="黑体"/>
        <w:b w:val="0"/>
        <w:i w:val="0"/>
        <w:color w:val="auto"/>
        <w:sz w:val="21"/>
      </w:rPr>
    </w:lvl>
    <w:lvl w:ilvl="4" w:tentative="0">
      <w:start w:val="1"/>
      <w:numFmt w:val="decimal"/>
      <w:pStyle w:val="154"/>
      <w:suff w:val="nothing"/>
      <w:lvlText w:val="%1%2.%3.%4.%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3">
    <w:nsid w:val="6E0627D4"/>
    <w:multiLevelType w:val="multilevel"/>
    <w:tmpl w:val="6E0627D4"/>
    <w:lvl w:ilvl="0" w:tentative="0">
      <w:start w:val="5"/>
      <w:numFmt w:val="japaneseCounting"/>
      <w:lvlText w:val="%1、"/>
      <w:lvlJc w:val="left"/>
      <w:pPr>
        <w:ind w:left="1081" w:hanging="720"/>
      </w:pPr>
      <w:rPr>
        <w:rFonts w:hint="default"/>
      </w:rPr>
    </w:lvl>
    <w:lvl w:ilvl="1" w:tentative="0">
      <w:start w:val="1"/>
      <w:numFmt w:val="lowerLetter"/>
      <w:lvlText w:val="%2)"/>
      <w:lvlJc w:val="left"/>
      <w:pPr>
        <w:ind w:left="1201" w:hanging="420"/>
      </w:pPr>
    </w:lvl>
    <w:lvl w:ilvl="2" w:tentative="0">
      <w:start w:val="1"/>
      <w:numFmt w:val="lowerRoman"/>
      <w:lvlText w:val="%3."/>
      <w:lvlJc w:val="right"/>
      <w:pPr>
        <w:ind w:left="1621" w:hanging="420"/>
      </w:pPr>
    </w:lvl>
    <w:lvl w:ilvl="3" w:tentative="0">
      <w:start w:val="1"/>
      <w:numFmt w:val="decimal"/>
      <w:lvlText w:val="%4."/>
      <w:lvlJc w:val="left"/>
      <w:pPr>
        <w:ind w:left="2041" w:hanging="420"/>
      </w:pPr>
    </w:lvl>
    <w:lvl w:ilvl="4" w:tentative="0">
      <w:start w:val="1"/>
      <w:numFmt w:val="lowerLetter"/>
      <w:lvlText w:val="%5)"/>
      <w:lvlJc w:val="left"/>
      <w:pPr>
        <w:ind w:left="2461" w:hanging="420"/>
      </w:pPr>
    </w:lvl>
    <w:lvl w:ilvl="5" w:tentative="0">
      <w:start w:val="1"/>
      <w:numFmt w:val="lowerRoman"/>
      <w:lvlText w:val="%6."/>
      <w:lvlJc w:val="right"/>
      <w:pPr>
        <w:ind w:left="2881" w:hanging="420"/>
      </w:pPr>
    </w:lvl>
    <w:lvl w:ilvl="6" w:tentative="0">
      <w:start w:val="1"/>
      <w:numFmt w:val="decimal"/>
      <w:lvlText w:val="%7."/>
      <w:lvlJc w:val="left"/>
      <w:pPr>
        <w:ind w:left="3301" w:hanging="420"/>
      </w:pPr>
    </w:lvl>
    <w:lvl w:ilvl="7" w:tentative="0">
      <w:start w:val="1"/>
      <w:numFmt w:val="lowerLetter"/>
      <w:lvlText w:val="%8)"/>
      <w:lvlJc w:val="left"/>
      <w:pPr>
        <w:ind w:left="3721" w:hanging="420"/>
      </w:pPr>
    </w:lvl>
    <w:lvl w:ilvl="8" w:tentative="0">
      <w:start w:val="1"/>
      <w:numFmt w:val="lowerRoman"/>
      <w:lvlText w:val="%9."/>
      <w:lvlJc w:val="right"/>
      <w:pPr>
        <w:ind w:left="4141" w:hanging="420"/>
      </w:p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1"/>
  </w:num>
  <w:num w:numId="3">
    <w:abstractNumId w:val="19"/>
  </w:num>
  <w:num w:numId="4">
    <w:abstractNumId w:val="18"/>
  </w:num>
  <w:num w:numId="5">
    <w:abstractNumId w:val="13"/>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5"/>
  </w:num>
  <w:num w:numId="12">
    <w:abstractNumId w:val="0"/>
  </w:num>
  <w:num w:numId="13">
    <w:abstractNumId w:val="3"/>
  </w:num>
  <w:num w:numId="14">
    <w:abstractNumId w:val="20"/>
  </w:num>
  <w:num w:numId="15">
    <w:abstractNumId w:val="24"/>
  </w:num>
  <w:num w:numId="16">
    <w:abstractNumId w:val="14"/>
  </w:num>
  <w:num w:numId="17">
    <w:abstractNumId w:val="9"/>
  </w:num>
  <w:num w:numId="18">
    <w:abstractNumId w:val="8"/>
  </w:num>
  <w:num w:numId="19">
    <w:abstractNumId w:val="4"/>
  </w:num>
  <w:num w:numId="20">
    <w:abstractNumId w:val="1"/>
  </w:num>
  <w:num w:numId="21">
    <w:abstractNumId w:val="6"/>
  </w:num>
  <w:num w:numId="22">
    <w:abstractNumId w:val="11"/>
  </w:num>
  <w:num w:numId="23">
    <w:abstractNumId w:val="10"/>
  </w:num>
  <w:num w:numId="24">
    <w:abstractNumId w:val="17"/>
  </w:num>
  <w:num w:numId="25">
    <w:abstractNumId w:val="15"/>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FlOTdjNzI1ZTlhZDM3NTY5OTRkOGNiMmZmOGIwM2YifQ=="/>
    <w:docVar w:name="KSO_WPS_MARK_KEY" w:val="288773bf-0df4-413a-9f38-c1906dd68f40"/>
  </w:docVars>
  <w:rsids>
    <w:rsidRoot w:val="0056018A"/>
    <w:rsid w:val="000139F5"/>
    <w:rsid w:val="00022B06"/>
    <w:rsid w:val="00036836"/>
    <w:rsid w:val="00041168"/>
    <w:rsid w:val="00044EF2"/>
    <w:rsid w:val="00056B44"/>
    <w:rsid w:val="0005777A"/>
    <w:rsid w:val="00065382"/>
    <w:rsid w:val="00080223"/>
    <w:rsid w:val="00082D2B"/>
    <w:rsid w:val="0008485B"/>
    <w:rsid w:val="000A5309"/>
    <w:rsid w:val="000D6A51"/>
    <w:rsid w:val="000E3EA5"/>
    <w:rsid w:val="000F45A3"/>
    <w:rsid w:val="00112247"/>
    <w:rsid w:val="00123FEC"/>
    <w:rsid w:val="00161047"/>
    <w:rsid w:val="00177B0E"/>
    <w:rsid w:val="001C1EE3"/>
    <w:rsid w:val="001C713C"/>
    <w:rsid w:val="001D75B9"/>
    <w:rsid w:val="001E400C"/>
    <w:rsid w:val="001F5010"/>
    <w:rsid w:val="00200F05"/>
    <w:rsid w:val="00220056"/>
    <w:rsid w:val="00262679"/>
    <w:rsid w:val="002626ED"/>
    <w:rsid w:val="00265A40"/>
    <w:rsid w:val="00282FDE"/>
    <w:rsid w:val="002866FD"/>
    <w:rsid w:val="0029130A"/>
    <w:rsid w:val="002B72D4"/>
    <w:rsid w:val="002E5C3E"/>
    <w:rsid w:val="003350EC"/>
    <w:rsid w:val="00357692"/>
    <w:rsid w:val="003624D5"/>
    <w:rsid w:val="00375FA5"/>
    <w:rsid w:val="003825C2"/>
    <w:rsid w:val="0039476D"/>
    <w:rsid w:val="003A4540"/>
    <w:rsid w:val="003B4D7D"/>
    <w:rsid w:val="003E0AB3"/>
    <w:rsid w:val="003E7D2A"/>
    <w:rsid w:val="00401C42"/>
    <w:rsid w:val="004076DE"/>
    <w:rsid w:val="00455E23"/>
    <w:rsid w:val="00460AFB"/>
    <w:rsid w:val="00462893"/>
    <w:rsid w:val="00470130"/>
    <w:rsid w:val="00482D85"/>
    <w:rsid w:val="00483B0A"/>
    <w:rsid w:val="004A0895"/>
    <w:rsid w:val="004A3BFE"/>
    <w:rsid w:val="004B0E22"/>
    <w:rsid w:val="004B27DC"/>
    <w:rsid w:val="004B5126"/>
    <w:rsid w:val="004F70EA"/>
    <w:rsid w:val="004F7838"/>
    <w:rsid w:val="00503391"/>
    <w:rsid w:val="00520E48"/>
    <w:rsid w:val="005266C0"/>
    <w:rsid w:val="00544B3D"/>
    <w:rsid w:val="00552960"/>
    <w:rsid w:val="0056018A"/>
    <w:rsid w:val="00567344"/>
    <w:rsid w:val="005829DC"/>
    <w:rsid w:val="005C0B4E"/>
    <w:rsid w:val="005C421F"/>
    <w:rsid w:val="005C5B4C"/>
    <w:rsid w:val="005F16F0"/>
    <w:rsid w:val="00620A4E"/>
    <w:rsid w:val="006238AB"/>
    <w:rsid w:val="00642474"/>
    <w:rsid w:val="0065185D"/>
    <w:rsid w:val="00680629"/>
    <w:rsid w:val="00686C52"/>
    <w:rsid w:val="006A63F8"/>
    <w:rsid w:val="006A6E1F"/>
    <w:rsid w:val="006C435E"/>
    <w:rsid w:val="006F1414"/>
    <w:rsid w:val="007043C0"/>
    <w:rsid w:val="007054EE"/>
    <w:rsid w:val="007106F9"/>
    <w:rsid w:val="007266BC"/>
    <w:rsid w:val="007432BF"/>
    <w:rsid w:val="007525BF"/>
    <w:rsid w:val="00767296"/>
    <w:rsid w:val="007768D0"/>
    <w:rsid w:val="007800DC"/>
    <w:rsid w:val="007838AA"/>
    <w:rsid w:val="00783D5E"/>
    <w:rsid w:val="00785FD6"/>
    <w:rsid w:val="007B212D"/>
    <w:rsid w:val="007D7A72"/>
    <w:rsid w:val="00806A61"/>
    <w:rsid w:val="0081327B"/>
    <w:rsid w:val="00824BFD"/>
    <w:rsid w:val="00830FFE"/>
    <w:rsid w:val="00843F57"/>
    <w:rsid w:val="008453B3"/>
    <w:rsid w:val="008D3B56"/>
    <w:rsid w:val="008D5CEF"/>
    <w:rsid w:val="008E45E8"/>
    <w:rsid w:val="009037F8"/>
    <w:rsid w:val="00930798"/>
    <w:rsid w:val="009360F9"/>
    <w:rsid w:val="009426E9"/>
    <w:rsid w:val="00964F00"/>
    <w:rsid w:val="00982CD6"/>
    <w:rsid w:val="009A2F47"/>
    <w:rsid w:val="009B511E"/>
    <w:rsid w:val="009D310C"/>
    <w:rsid w:val="009E0F5E"/>
    <w:rsid w:val="009F4302"/>
    <w:rsid w:val="00A03AF3"/>
    <w:rsid w:val="00A21EB2"/>
    <w:rsid w:val="00A31561"/>
    <w:rsid w:val="00A43634"/>
    <w:rsid w:val="00A54E95"/>
    <w:rsid w:val="00A80564"/>
    <w:rsid w:val="00A90522"/>
    <w:rsid w:val="00A960B2"/>
    <w:rsid w:val="00AE6633"/>
    <w:rsid w:val="00AF59B2"/>
    <w:rsid w:val="00B01FF1"/>
    <w:rsid w:val="00B30684"/>
    <w:rsid w:val="00B5411E"/>
    <w:rsid w:val="00B613C7"/>
    <w:rsid w:val="00B72516"/>
    <w:rsid w:val="00B92C97"/>
    <w:rsid w:val="00BA3C70"/>
    <w:rsid w:val="00BA6FAF"/>
    <w:rsid w:val="00BB1608"/>
    <w:rsid w:val="00BB4E42"/>
    <w:rsid w:val="00BF0E19"/>
    <w:rsid w:val="00C01073"/>
    <w:rsid w:val="00C22FC1"/>
    <w:rsid w:val="00C32C7A"/>
    <w:rsid w:val="00C71D1A"/>
    <w:rsid w:val="00C736E0"/>
    <w:rsid w:val="00C855F6"/>
    <w:rsid w:val="00C92F53"/>
    <w:rsid w:val="00CD5223"/>
    <w:rsid w:val="00CE409A"/>
    <w:rsid w:val="00CE5010"/>
    <w:rsid w:val="00CE6E17"/>
    <w:rsid w:val="00D0528A"/>
    <w:rsid w:val="00D11B37"/>
    <w:rsid w:val="00D408EF"/>
    <w:rsid w:val="00D44015"/>
    <w:rsid w:val="00D5145C"/>
    <w:rsid w:val="00D57EA8"/>
    <w:rsid w:val="00D62ED5"/>
    <w:rsid w:val="00D64DAE"/>
    <w:rsid w:val="00D729A1"/>
    <w:rsid w:val="00DB5225"/>
    <w:rsid w:val="00DB7E17"/>
    <w:rsid w:val="00DD1E5E"/>
    <w:rsid w:val="00DD3D18"/>
    <w:rsid w:val="00DE474D"/>
    <w:rsid w:val="00DE6417"/>
    <w:rsid w:val="00E16182"/>
    <w:rsid w:val="00E1627A"/>
    <w:rsid w:val="00E20C70"/>
    <w:rsid w:val="00E34C35"/>
    <w:rsid w:val="00E57BC5"/>
    <w:rsid w:val="00E650A8"/>
    <w:rsid w:val="00E878B4"/>
    <w:rsid w:val="00EB3D00"/>
    <w:rsid w:val="00EE6D96"/>
    <w:rsid w:val="00F14C40"/>
    <w:rsid w:val="00F4721A"/>
    <w:rsid w:val="00F545E2"/>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B31787"/>
    <w:rsid w:val="03D567D9"/>
    <w:rsid w:val="04027A1F"/>
    <w:rsid w:val="041078B8"/>
    <w:rsid w:val="042921B6"/>
    <w:rsid w:val="043B72BB"/>
    <w:rsid w:val="04461EC1"/>
    <w:rsid w:val="04504B3F"/>
    <w:rsid w:val="04831DF5"/>
    <w:rsid w:val="04A3012C"/>
    <w:rsid w:val="04AD02B8"/>
    <w:rsid w:val="04DE51C8"/>
    <w:rsid w:val="04DF17D4"/>
    <w:rsid w:val="050664D1"/>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32EC3"/>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CE1C7C"/>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47485"/>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E60579"/>
    <w:rsid w:val="12EB0F02"/>
    <w:rsid w:val="12F21228"/>
    <w:rsid w:val="13057392"/>
    <w:rsid w:val="13695B36"/>
    <w:rsid w:val="136D7E57"/>
    <w:rsid w:val="1372609F"/>
    <w:rsid w:val="138A301D"/>
    <w:rsid w:val="13CD6F8A"/>
    <w:rsid w:val="13D73572"/>
    <w:rsid w:val="13EC668D"/>
    <w:rsid w:val="141476FE"/>
    <w:rsid w:val="1449272D"/>
    <w:rsid w:val="14504752"/>
    <w:rsid w:val="145A6A37"/>
    <w:rsid w:val="1467440F"/>
    <w:rsid w:val="146B2014"/>
    <w:rsid w:val="147F6DAD"/>
    <w:rsid w:val="14846AB8"/>
    <w:rsid w:val="14E05B4D"/>
    <w:rsid w:val="14FA1F7A"/>
    <w:rsid w:val="15400323"/>
    <w:rsid w:val="15433A9B"/>
    <w:rsid w:val="15545B0C"/>
    <w:rsid w:val="155B4CA6"/>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1FF90157"/>
    <w:rsid w:val="20107567"/>
    <w:rsid w:val="20313E48"/>
    <w:rsid w:val="204E750E"/>
    <w:rsid w:val="208244E5"/>
    <w:rsid w:val="20AB56C6"/>
    <w:rsid w:val="20E21F80"/>
    <w:rsid w:val="212D571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145597"/>
    <w:rsid w:val="243F7403"/>
    <w:rsid w:val="247575BE"/>
    <w:rsid w:val="247E4FED"/>
    <w:rsid w:val="24AD78E0"/>
    <w:rsid w:val="24B30BE8"/>
    <w:rsid w:val="24BC5AD3"/>
    <w:rsid w:val="24E10292"/>
    <w:rsid w:val="24E34060"/>
    <w:rsid w:val="253A0491"/>
    <w:rsid w:val="254E0478"/>
    <w:rsid w:val="259322B4"/>
    <w:rsid w:val="25AF6361"/>
    <w:rsid w:val="25C50504"/>
    <w:rsid w:val="25E036B2"/>
    <w:rsid w:val="25E75BA2"/>
    <w:rsid w:val="25E9082A"/>
    <w:rsid w:val="25E97949"/>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52F09"/>
    <w:rsid w:val="2EBC0905"/>
    <w:rsid w:val="2EC73739"/>
    <w:rsid w:val="2EC91E34"/>
    <w:rsid w:val="2EFB1B0E"/>
    <w:rsid w:val="2F5C684F"/>
    <w:rsid w:val="2F63756E"/>
    <w:rsid w:val="2F695B05"/>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367B01"/>
    <w:rsid w:val="35486AF7"/>
    <w:rsid w:val="359009FB"/>
    <w:rsid w:val="35D354B8"/>
    <w:rsid w:val="35D4025C"/>
    <w:rsid w:val="36063A32"/>
    <w:rsid w:val="362666BC"/>
    <w:rsid w:val="36445A95"/>
    <w:rsid w:val="368A6B11"/>
    <w:rsid w:val="36A238B1"/>
    <w:rsid w:val="37085B1F"/>
    <w:rsid w:val="37103EE5"/>
    <w:rsid w:val="372E04CB"/>
    <w:rsid w:val="37317C9C"/>
    <w:rsid w:val="386D5118"/>
    <w:rsid w:val="388572C9"/>
    <w:rsid w:val="38E070F2"/>
    <w:rsid w:val="390D33AB"/>
    <w:rsid w:val="390F0EBE"/>
    <w:rsid w:val="391E6D06"/>
    <w:rsid w:val="393409E6"/>
    <w:rsid w:val="39DC5BB6"/>
    <w:rsid w:val="39E64C4A"/>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744F28"/>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774839"/>
    <w:rsid w:val="3FEC147E"/>
    <w:rsid w:val="400D1324"/>
    <w:rsid w:val="40111F29"/>
    <w:rsid w:val="401A01BA"/>
    <w:rsid w:val="40376375"/>
    <w:rsid w:val="40494B04"/>
    <w:rsid w:val="407D0E43"/>
    <w:rsid w:val="409669EA"/>
    <w:rsid w:val="40980F08"/>
    <w:rsid w:val="40C83C56"/>
    <w:rsid w:val="40DE50BE"/>
    <w:rsid w:val="40E340D5"/>
    <w:rsid w:val="40F3251B"/>
    <w:rsid w:val="40F54E96"/>
    <w:rsid w:val="412732B7"/>
    <w:rsid w:val="4127791F"/>
    <w:rsid w:val="41281794"/>
    <w:rsid w:val="413C1FDF"/>
    <w:rsid w:val="41806A69"/>
    <w:rsid w:val="41980AAB"/>
    <w:rsid w:val="41A40141"/>
    <w:rsid w:val="41B0259C"/>
    <w:rsid w:val="41BC6F1C"/>
    <w:rsid w:val="41EF2363"/>
    <w:rsid w:val="41F77860"/>
    <w:rsid w:val="424A4B98"/>
    <w:rsid w:val="424F27D8"/>
    <w:rsid w:val="42581D3A"/>
    <w:rsid w:val="425E5296"/>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6754E"/>
    <w:rsid w:val="45EA5542"/>
    <w:rsid w:val="45FA7999"/>
    <w:rsid w:val="45FB0F21"/>
    <w:rsid w:val="46130905"/>
    <w:rsid w:val="46167166"/>
    <w:rsid w:val="4636719A"/>
    <w:rsid w:val="463A65C6"/>
    <w:rsid w:val="464858DB"/>
    <w:rsid w:val="4650656B"/>
    <w:rsid w:val="46685E10"/>
    <w:rsid w:val="46812687"/>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B2BC0"/>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378B9"/>
    <w:rsid w:val="4A7706DB"/>
    <w:rsid w:val="4A901A63"/>
    <w:rsid w:val="4A9C5875"/>
    <w:rsid w:val="4AC85D49"/>
    <w:rsid w:val="4ACD18C8"/>
    <w:rsid w:val="4AE308A9"/>
    <w:rsid w:val="4AF37A2B"/>
    <w:rsid w:val="4B260F2D"/>
    <w:rsid w:val="4B9A1456"/>
    <w:rsid w:val="4BA32C82"/>
    <w:rsid w:val="4BDB6202"/>
    <w:rsid w:val="4BE70627"/>
    <w:rsid w:val="4C0A5AE1"/>
    <w:rsid w:val="4C130AB8"/>
    <w:rsid w:val="4C5A284D"/>
    <w:rsid w:val="4C5C0673"/>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E915EFB"/>
    <w:rsid w:val="4EA2780A"/>
    <w:rsid w:val="4ED432AF"/>
    <w:rsid w:val="4F057E60"/>
    <w:rsid w:val="4F08773C"/>
    <w:rsid w:val="4F31409F"/>
    <w:rsid w:val="4F391107"/>
    <w:rsid w:val="4F5E670E"/>
    <w:rsid w:val="4F846A83"/>
    <w:rsid w:val="4FBC5F0F"/>
    <w:rsid w:val="50070E2C"/>
    <w:rsid w:val="50093D5E"/>
    <w:rsid w:val="501112F3"/>
    <w:rsid w:val="504B57F2"/>
    <w:rsid w:val="50514152"/>
    <w:rsid w:val="50850D04"/>
    <w:rsid w:val="50C5433A"/>
    <w:rsid w:val="50C62BC7"/>
    <w:rsid w:val="50C879B4"/>
    <w:rsid w:val="50D40EA8"/>
    <w:rsid w:val="50F72A66"/>
    <w:rsid w:val="5123368C"/>
    <w:rsid w:val="51291C37"/>
    <w:rsid w:val="5130747C"/>
    <w:rsid w:val="51394522"/>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656190"/>
    <w:rsid w:val="547748A2"/>
    <w:rsid w:val="548D01DC"/>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9D7135"/>
    <w:rsid w:val="5AC468CD"/>
    <w:rsid w:val="5AC558FB"/>
    <w:rsid w:val="5B342B9A"/>
    <w:rsid w:val="5B377B9D"/>
    <w:rsid w:val="5B5953B0"/>
    <w:rsid w:val="5B630802"/>
    <w:rsid w:val="5B746998"/>
    <w:rsid w:val="5B807F68"/>
    <w:rsid w:val="5BA72CE5"/>
    <w:rsid w:val="5BE61256"/>
    <w:rsid w:val="5C034D53"/>
    <w:rsid w:val="5C0A43A9"/>
    <w:rsid w:val="5C41066B"/>
    <w:rsid w:val="5C620B9F"/>
    <w:rsid w:val="5C79798F"/>
    <w:rsid w:val="5C7F2AAC"/>
    <w:rsid w:val="5D0E2082"/>
    <w:rsid w:val="5D161948"/>
    <w:rsid w:val="5D406C5A"/>
    <w:rsid w:val="5D722852"/>
    <w:rsid w:val="5DCD1833"/>
    <w:rsid w:val="5E1D6F56"/>
    <w:rsid w:val="5E52187F"/>
    <w:rsid w:val="5E6A13CD"/>
    <w:rsid w:val="5E705D15"/>
    <w:rsid w:val="5E93326C"/>
    <w:rsid w:val="5E9F1A7A"/>
    <w:rsid w:val="5EAB5261"/>
    <w:rsid w:val="5EAF3818"/>
    <w:rsid w:val="5EE62ABD"/>
    <w:rsid w:val="5EFB4BA4"/>
    <w:rsid w:val="5EFD23AE"/>
    <w:rsid w:val="5F025452"/>
    <w:rsid w:val="5F5F46B5"/>
    <w:rsid w:val="5F9502AC"/>
    <w:rsid w:val="5FB25360"/>
    <w:rsid w:val="5FBA3CC0"/>
    <w:rsid w:val="5FD90D61"/>
    <w:rsid w:val="60177697"/>
    <w:rsid w:val="602329DB"/>
    <w:rsid w:val="607777D6"/>
    <w:rsid w:val="60B34B89"/>
    <w:rsid w:val="60BC76A1"/>
    <w:rsid w:val="610B7637"/>
    <w:rsid w:val="612279BA"/>
    <w:rsid w:val="614D1FB2"/>
    <w:rsid w:val="615F5624"/>
    <w:rsid w:val="61740633"/>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25CA0"/>
    <w:rsid w:val="65D5369F"/>
    <w:rsid w:val="65D97752"/>
    <w:rsid w:val="65E25E59"/>
    <w:rsid w:val="65FD352B"/>
    <w:rsid w:val="66174109"/>
    <w:rsid w:val="6617798C"/>
    <w:rsid w:val="66307F76"/>
    <w:rsid w:val="66580EAF"/>
    <w:rsid w:val="66694D0D"/>
    <w:rsid w:val="667B4472"/>
    <w:rsid w:val="66F041A8"/>
    <w:rsid w:val="66F513E0"/>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448A1"/>
    <w:rsid w:val="6855023B"/>
    <w:rsid w:val="68673E5E"/>
    <w:rsid w:val="68761190"/>
    <w:rsid w:val="68817BAC"/>
    <w:rsid w:val="689A5E59"/>
    <w:rsid w:val="68A94E70"/>
    <w:rsid w:val="68AB31C8"/>
    <w:rsid w:val="68EB61B0"/>
    <w:rsid w:val="68EE72DF"/>
    <w:rsid w:val="68FE51D1"/>
    <w:rsid w:val="69075AE0"/>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C965ED"/>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46499"/>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DC5998"/>
    <w:rsid w:val="73F12089"/>
    <w:rsid w:val="73FE4ED9"/>
    <w:rsid w:val="743D3AC4"/>
    <w:rsid w:val="747D20BB"/>
    <w:rsid w:val="74A11E7D"/>
    <w:rsid w:val="74AE727B"/>
    <w:rsid w:val="74EC1DD5"/>
    <w:rsid w:val="754532C6"/>
    <w:rsid w:val="75590B0A"/>
    <w:rsid w:val="758075D4"/>
    <w:rsid w:val="7582279F"/>
    <w:rsid w:val="75843EB5"/>
    <w:rsid w:val="75BB71AF"/>
    <w:rsid w:val="75F01962"/>
    <w:rsid w:val="760E19DF"/>
    <w:rsid w:val="762A586E"/>
    <w:rsid w:val="76426697"/>
    <w:rsid w:val="764E52E0"/>
    <w:rsid w:val="76557F3E"/>
    <w:rsid w:val="76676A53"/>
    <w:rsid w:val="76766E1C"/>
    <w:rsid w:val="76A3294D"/>
    <w:rsid w:val="76B620A1"/>
    <w:rsid w:val="76D0016F"/>
    <w:rsid w:val="76E51777"/>
    <w:rsid w:val="76F20814"/>
    <w:rsid w:val="77050D7C"/>
    <w:rsid w:val="77462524"/>
    <w:rsid w:val="77854826"/>
    <w:rsid w:val="779A6594"/>
    <w:rsid w:val="77A06CE7"/>
    <w:rsid w:val="77A21064"/>
    <w:rsid w:val="77E34EB2"/>
    <w:rsid w:val="781564B8"/>
    <w:rsid w:val="78224ACF"/>
    <w:rsid w:val="783751ED"/>
    <w:rsid w:val="78C7099A"/>
    <w:rsid w:val="78CD6DCC"/>
    <w:rsid w:val="78D07CAF"/>
    <w:rsid w:val="78DE12D7"/>
    <w:rsid w:val="78F51D0A"/>
    <w:rsid w:val="79055F9C"/>
    <w:rsid w:val="79202AC9"/>
    <w:rsid w:val="79210683"/>
    <w:rsid w:val="79535D1B"/>
    <w:rsid w:val="796A5940"/>
    <w:rsid w:val="79936B04"/>
    <w:rsid w:val="799C3465"/>
    <w:rsid w:val="79B14EC4"/>
    <w:rsid w:val="7A0D2A6B"/>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8941C8"/>
    <w:rsid w:val="7DAA6C39"/>
    <w:rsid w:val="7DB23041"/>
    <w:rsid w:val="7DD86484"/>
    <w:rsid w:val="7E163D6A"/>
    <w:rsid w:val="7E2120FB"/>
    <w:rsid w:val="7E412630"/>
    <w:rsid w:val="7E5F7809"/>
    <w:rsid w:val="7E813212"/>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9"/>
    <w:pPr>
      <w:keepNext/>
      <w:keepLines/>
      <w:jc w:val="center"/>
      <w:outlineLvl w:val="0"/>
    </w:pPr>
    <w:rPr>
      <w:b/>
      <w:bCs/>
      <w:kern w:val="44"/>
      <w:sz w:val="36"/>
      <w:szCs w:val="44"/>
    </w:rPr>
  </w:style>
  <w:style w:type="paragraph" w:styleId="3">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0"/>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1"/>
    <w:qFormat/>
    <w:uiPriority w:val="0"/>
    <w:pPr>
      <w:jc w:val="left"/>
    </w:pPr>
  </w:style>
  <w:style w:type="paragraph" w:styleId="11">
    <w:name w:val="Body Text"/>
    <w:basedOn w:val="1"/>
    <w:link w:val="82"/>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79"/>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99"/>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Body Text 2"/>
    <w:basedOn w:val="1"/>
    <w:link w:val="141"/>
    <w:semiHidden/>
    <w:unhideWhenUsed/>
    <w:qFormat/>
    <w:uiPriority w:val="99"/>
    <w:pPr>
      <w:spacing w:after="120" w:line="480" w:lineRule="auto"/>
    </w:p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0"/>
    <w:next w:val="10"/>
    <w:link w:val="52"/>
    <w:qFormat/>
    <w:uiPriority w:val="0"/>
    <w:rPr>
      <w:b/>
    </w:rPr>
  </w:style>
  <w:style w:type="paragraph" w:styleId="35">
    <w:name w:val="Body Text First Indent 2"/>
    <w:basedOn w:val="12"/>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jc w:val="center"/>
    </w:pPr>
    <w:rPr>
      <w:rFonts w:ascii="Arial" w:hAnsi="Arial"/>
      <w:kern w:val="0"/>
      <w:szCs w:val="20"/>
      <w:lang w:val="de-DE" w:eastAsia="de-DE"/>
    </w:rPr>
  </w:style>
  <w:style w:type="character" w:customStyle="1" w:styleId="47">
    <w:name w:val="标题 1 字符"/>
    <w:basedOn w:val="38"/>
    <w:link w:val="2"/>
    <w:qFormat/>
    <w:uiPriority w:val="9"/>
    <w:rPr>
      <w:rFonts w:ascii="Calibri" w:hAnsi="Calibri" w:eastAsia="宋体" w:cs="Times New Roman"/>
      <w:b/>
      <w:bCs/>
      <w:kern w:val="44"/>
      <w:sz w:val="36"/>
      <w:szCs w:val="44"/>
    </w:rPr>
  </w:style>
  <w:style w:type="character" w:customStyle="1" w:styleId="48">
    <w:name w:val="标题 2 字符"/>
    <w:basedOn w:val="38"/>
    <w:link w:val="3"/>
    <w:qFormat/>
    <w:uiPriority w:val="9"/>
    <w:rPr>
      <w:rFonts w:ascii="Arial" w:hAnsi="Arial" w:eastAsia="宋体" w:cs="Times New Roman"/>
      <w:b/>
      <w:bCs/>
      <w:sz w:val="24"/>
      <w:szCs w:val="32"/>
    </w:rPr>
  </w:style>
  <w:style w:type="character" w:customStyle="1" w:styleId="49">
    <w:name w:val="标题 3 字符"/>
    <w:basedOn w:val="38"/>
    <w:link w:val="4"/>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19"/>
    <w:qFormat/>
    <w:locked/>
    <w:uiPriority w:val="0"/>
  </w:style>
  <w:style w:type="character" w:customStyle="1" w:styleId="52">
    <w:name w:val="批注主题 字符"/>
    <w:link w:val="34"/>
    <w:qFormat/>
    <w:locked/>
    <w:uiPriority w:val="0"/>
    <w:rPr>
      <w:b/>
    </w:rPr>
  </w:style>
  <w:style w:type="character" w:customStyle="1" w:styleId="53">
    <w:name w:val="正文文本缩进 3 字符"/>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字符"/>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0"/>
    <w:qFormat/>
    <w:locked/>
    <w:uiPriority w:val="0"/>
  </w:style>
  <w:style w:type="character" w:customStyle="1" w:styleId="62">
    <w:name w:val="标题 字符"/>
    <w:link w:val="33"/>
    <w:qFormat/>
    <w:locked/>
    <w:uiPriority w:val="0"/>
    <w:rPr>
      <w:rFonts w:ascii="Arial" w:hAnsi="Arial"/>
      <w:b/>
      <w:sz w:val="32"/>
    </w:rPr>
  </w:style>
  <w:style w:type="character" w:customStyle="1" w:styleId="63">
    <w:name w:val="日期 字符"/>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8"/>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6"/>
    <w:qFormat/>
    <w:locked/>
    <w:uiPriority w:val="0"/>
    <w:rPr>
      <w:rFonts w:ascii="宋体" w:hAnsi="Courier New"/>
    </w:rPr>
  </w:style>
  <w:style w:type="character" w:customStyle="1" w:styleId="73">
    <w:name w:val="页脚 字符"/>
    <w:link w:val="21"/>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字符"/>
    <w:basedOn w:val="38"/>
    <w:link w:val="12"/>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字符"/>
    <w:basedOn w:val="38"/>
    <w:link w:val="11"/>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03"/>
    <w:next w:val="105"/>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章标题"/>
    <w:next w:val="104"/>
    <w:semiHidden/>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4">
    <w:name w:val="段"/>
    <w:semiHidden/>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5">
    <w:name w:val="0"/>
    <w:basedOn w:val="104"/>
    <w:qFormat/>
    <w:uiPriority w:val="0"/>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08"/>
    <w:next w:val="105"/>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一级条标题"/>
    <w:basedOn w:val="103"/>
    <w:next w:val="104"/>
    <w:semiHidden/>
    <w:qFormat/>
    <w:uiPriority w:val="0"/>
    <w:pPr>
      <w:numPr>
        <w:ilvl w:val="2"/>
        <w:numId w:val="1"/>
      </w:numPr>
      <w:spacing w:beforeLines="0" w:afterLines="0"/>
      <w:outlineLvl w:val="2"/>
    </w:p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16"/>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34"/>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无间隔1"/>
    <w:qFormat/>
    <w:uiPriority w:val="0"/>
    <w:rPr>
      <w:rFonts w:ascii="Calibri" w:hAnsi="Calibri" w:eastAsia="Calibri" w:cs="Times New Roman"/>
      <w:szCs w:val="22"/>
      <w:lang w:val="en-GB" w:eastAsia="en-US" w:bidi="ar-SA"/>
    </w:rPr>
  </w:style>
  <w:style w:type="paragraph" w:customStyle="1" w:styleId="138">
    <w:name w:val="CM22"/>
    <w:basedOn w:val="75"/>
    <w:next w:val="75"/>
    <w:qFormat/>
    <w:uiPriority w:val="0"/>
    <w:pPr>
      <w:spacing w:after="125"/>
    </w:pPr>
    <w:rPr>
      <w:rFonts w:cs="Times New Roman"/>
      <w:color w:val="auto"/>
    </w:rPr>
  </w:style>
  <w:style w:type="paragraph" w:customStyle="1" w:styleId="139">
    <w:name w:val="List Paragraph1"/>
    <w:basedOn w:val="1"/>
    <w:qFormat/>
    <w:uiPriority w:val="0"/>
    <w:pPr>
      <w:ind w:firstLine="420" w:firstLineChars="200"/>
    </w:pPr>
    <w:rPr>
      <w:rFonts w:ascii="Calibri" w:hAnsi="Calibri"/>
    </w:rPr>
  </w:style>
  <w:style w:type="character" w:customStyle="1" w:styleId="140">
    <w:name w:val="font11"/>
    <w:basedOn w:val="38"/>
    <w:qFormat/>
    <w:uiPriority w:val="0"/>
    <w:rPr>
      <w:rFonts w:hint="eastAsia" w:ascii="宋体" w:hAnsi="宋体" w:eastAsia="宋体" w:cs="宋体"/>
      <w:b/>
      <w:bCs/>
      <w:color w:val="000000"/>
      <w:sz w:val="21"/>
      <w:szCs w:val="21"/>
      <w:u w:val="none"/>
    </w:rPr>
  </w:style>
  <w:style w:type="character" w:customStyle="1" w:styleId="141">
    <w:name w:val="正文文本 2 字符"/>
    <w:basedOn w:val="38"/>
    <w:link w:val="30"/>
    <w:semiHidden/>
    <w:qFormat/>
    <w:uiPriority w:val="99"/>
    <w:rPr>
      <w:rFonts w:asciiTheme="minorHAnsi" w:hAnsiTheme="minorHAnsi" w:eastAsiaTheme="minorEastAsia" w:cstheme="minorBidi"/>
      <w:kern w:val="2"/>
      <w:sz w:val="21"/>
      <w:szCs w:val="22"/>
    </w:rPr>
  </w:style>
  <w:style w:type="paragraph" w:customStyle="1" w:styleId="142">
    <w:name w:val="表格"/>
    <w:basedOn w:val="1"/>
    <w:qFormat/>
    <w:uiPriority w:val="10"/>
    <w:rPr>
      <w:rFonts w:ascii="宋体" w:hAnsi="宋体"/>
      <w:szCs w:val="30"/>
    </w:rPr>
  </w:style>
  <w:style w:type="paragraph" w:customStyle="1" w:styleId="143">
    <w:name w:val="章节"/>
    <w:basedOn w:val="16"/>
    <w:qFormat/>
    <w:uiPriority w:val="0"/>
    <w:pPr>
      <w:spacing w:line="360" w:lineRule="auto"/>
      <w:jc w:val="center"/>
      <w:outlineLvl w:val="0"/>
    </w:pPr>
    <w:rPr>
      <w:rFonts w:ascii="黑体" w:eastAsia="黑体"/>
      <w:b/>
      <w:bCs/>
      <w:sz w:val="36"/>
      <w:szCs w:val="36"/>
    </w:rPr>
  </w:style>
  <w:style w:type="paragraph" w:customStyle="1" w:styleId="144">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145">
    <w:name w:val="（二）级标题"/>
    <w:basedOn w:val="16"/>
    <w:qFormat/>
    <w:uiPriority w:val="2"/>
    <w:pPr>
      <w:numPr>
        <w:ilvl w:val="0"/>
        <w:numId w:val="3"/>
      </w:numPr>
      <w:spacing w:line="360" w:lineRule="auto"/>
      <w:outlineLvl w:val="2"/>
    </w:pPr>
    <w:rPr>
      <w:b/>
    </w:rPr>
  </w:style>
  <w:style w:type="paragraph" w:customStyle="1" w:styleId="146">
    <w:name w:val="标书正文"/>
    <w:basedOn w:val="16"/>
    <w:qFormat/>
    <w:uiPriority w:val="9"/>
    <w:pPr>
      <w:spacing w:line="360" w:lineRule="auto"/>
      <w:jc w:val="left"/>
    </w:pPr>
  </w:style>
  <w:style w:type="paragraph" w:customStyle="1" w:styleId="147">
    <w:name w:val="3级标题"/>
    <w:basedOn w:val="16"/>
    <w:qFormat/>
    <w:uiPriority w:val="3"/>
    <w:pPr>
      <w:numPr>
        <w:ilvl w:val="0"/>
        <w:numId w:val="4"/>
      </w:numPr>
      <w:spacing w:line="360" w:lineRule="auto"/>
      <w:outlineLvl w:val="3"/>
    </w:pPr>
    <w:rPr>
      <w:b/>
    </w:rPr>
  </w:style>
  <w:style w:type="paragraph" w:customStyle="1" w:styleId="148">
    <w:name w:val="（4）级标题"/>
    <w:basedOn w:val="16"/>
    <w:qFormat/>
    <w:uiPriority w:val="8"/>
    <w:pPr>
      <w:numPr>
        <w:ilvl w:val="0"/>
        <w:numId w:val="5"/>
      </w:numPr>
      <w:spacing w:line="360" w:lineRule="auto"/>
      <w:outlineLvl w:val="4"/>
    </w:pPr>
  </w:style>
  <w:style w:type="paragraph" w:customStyle="1" w:styleId="149">
    <w:name w:val="3.1"/>
    <w:basedOn w:val="150"/>
    <w:next w:val="105"/>
    <w:qFormat/>
    <w:uiPriority w:val="0"/>
    <w:pPr>
      <w:spacing w:before="25" w:beforeLines="25" w:after="25" w:afterLines="25"/>
    </w:pPr>
  </w:style>
  <w:style w:type="paragraph" w:customStyle="1" w:styleId="150">
    <w:name w:val="二级条标题"/>
    <w:basedOn w:val="108"/>
    <w:next w:val="104"/>
    <w:semiHidden/>
    <w:qFormat/>
    <w:uiPriority w:val="0"/>
    <w:pPr>
      <w:numPr>
        <w:ilvl w:val="3"/>
        <w:numId w:val="1"/>
      </w:numPr>
      <w:outlineLvl w:val="3"/>
    </w:pPr>
  </w:style>
  <w:style w:type="paragraph" w:customStyle="1" w:styleId="151">
    <w:name w:val="_Style 1"/>
    <w:basedOn w:val="1"/>
    <w:semiHidden/>
    <w:qFormat/>
    <w:uiPriority w:val="34"/>
    <w:pPr>
      <w:ind w:firstLine="420" w:firstLineChars="200"/>
    </w:pPr>
  </w:style>
  <w:style w:type="paragraph" w:customStyle="1" w:styleId="152">
    <w:name w:val="3.2"/>
    <w:basedOn w:val="150"/>
    <w:next w:val="105"/>
    <w:qFormat/>
    <w:uiPriority w:val="0"/>
    <w:pPr>
      <w:numPr>
        <w:ilvl w:val="3"/>
        <w:numId w:val="1"/>
      </w:numPr>
      <w:spacing w:before="25" w:beforeLines="25" w:after="25" w:afterLines="25"/>
    </w:pPr>
    <w:rPr>
      <w:rFonts w:ascii="宋体" w:hAnsi="宋体" w:eastAsia="宋体"/>
    </w:rPr>
  </w:style>
  <w:style w:type="paragraph" w:customStyle="1" w:styleId="153">
    <w:name w:val="4"/>
    <w:basedOn w:val="150"/>
    <w:next w:val="105"/>
    <w:qFormat/>
    <w:uiPriority w:val="0"/>
    <w:pPr>
      <w:numPr>
        <w:ilvl w:val="4"/>
        <w:numId w:val="1"/>
      </w:numPr>
      <w:outlineLvl w:val="4"/>
    </w:pPr>
    <w:rPr>
      <w:rFonts w:ascii="宋体" w:hAnsi="宋体" w:eastAsia="宋体"/>
      <w:color w:val="000000"/>
      <w:szCs w:val="21"/>
    </w:rPr>
  </w:style>
  <w:style w:type="paragraph" w:customStyle="1" w:styleId="154">
    <w:name w:val="三级条标题"/>
    <w:basedOn w:val="150"/>
    <w:next w:val="104"/>
    <w:qFormat/>
    <w:uiPriority w:val="0"/>
    <w:pPr>
      <w:numPr>
        <w:ilvl w:val="4"/>
      </w:numPr>
      <w:outlineLvl w:val="4"/>
    </w:pPr>
  </w:style>
  <w:style w:type="paragraph" w:customStyle="1" w:styleId="15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5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57">
    <w:name w:val="_Style 332"/>
    <w:basedOn w:val="1"/>
    <w:next w:val="131"/>
    <w:qFormat/>
    <w:uiPriority w:val="1"/>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100"/>
    <customShpInfo spid="_x0000_s3073"/>
    <customShpInfo spid="_x0000_s3101" textRotate="1"/>
    <customShpInfo spid="_x0000_s3093" textRotate="1"/>
    <customShpInfo spid="_x0000_s3109"/>
    <customShpInfo spid="_x0000_s3105"/>
    <customShpInfo spid="_x0000_s3104"/>
    <customShpInfo spid="_x0000_s3095" textRotate="1"/>
    <customShpInfo spid="_x0000_s3097" textRotate="1"/>
    <customShpInfo spid="_x0000_s3098" textRotate="1"/>
    <customShpInfo spid="_x0000_s3091" textRotate="1"/>
    <customShpInfo spid="_x0000_s3092"/>
    <customShpInfo spid="_x0000_s3099"/>
    <customShpInfo spid="_x0000_s3106"/>
    <customShpInfo spid="_x0000_s3074"/>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87</Pages>
  <Words>42247</Words>
  <Characters>44194</Characters>
  <Lines>293</Lines>
  <Paragraphs>82</Paragraphs>
  <TotalTime>264</TotalTime>
  <ScaleCrop>false</ScaleCrop>
  <LinksUpToDate>false</LinksUpToDate>
  <CharactersWithSpaces>49338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唐绍丰</cp:lastModifiedBy>
  <cp:lastPrinted>2022-07-01T11:19:00Z</cp:lastPrinted>
  <dcterms:modified xsi:type="dcterms:W3CDTF">2026-03-30T09:13:21Z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ED02EB12B8294FE5807EAA5D2C3C24E0</vt:lpwstr>
  </property>
  <property fmtid="{D5CDD505-2E9C-101B-9397-08002B2CF9AE}" pid="4" name="KSOTemplateDocerSaveRecord">
    <vt:lpwstr>eyJoZGlkIjoiMjA3MjRkZTcwNjVhMmUwMDJjMWUwZGM1M2I0MzhjMzgiLCJ1c2VySWQiOiIyMzMwMTE5NTEifQ==</vt:lpwstr>
  </property>
</Properties>
</file>